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65397" w14:textId="77777777" w:rsidR="00CD5A2A" w:rsidRDefault="00DD643B" w:rsidP="00DD643B">
      <w:pPr>
        <w:pStyle w:val="Title"/>
      </w:pPr>
      <w:r>
        <w:t>PRI private equity advisory committee terms of reference</w:t>
      </w:r>
    </w:p>
    <w:p w14:paraId="59D191A9" w14:textId="77777777" w:rsidR="00DD643B" w:rsidRDefault="007258DC" w:rsidP="007258DC">
      <w:pPr>
        <w:pStyle w:val="Heading2"/>
        <w:numPr>
          <w:ilvl w:val="0"/>
          <w:numId w:val="22"/>
        </w:numPr>
        <w:tabs>
          <w:tab w:val="left" w:pos="2100"/>
        </w:tabs>
      </w:pPr>
      <w:r>
        <w:t>Introduction</w:t>
      </w:r>
    </w:p>
    <w:p w14:paraId="4FCF022E" w14:textId="77777777" w:rsidR="00AD65E1" w:rsidRDefault="00AD65E1" w:rsidP="00EC71FC">
      <w:pPr>
        <w:tabs>
          <w:tab w:val="left" w:pos="5285"/>
        </w:tabs>
        <w:jc w:val="both"/>
      </w:pPr>
    </w:p>
    <w:p w14:paraId="0EBE6708" w14:textId="67CE1C92" w:rsidR="007258DC" w:rsidRDefault="00EC1443" w:rsidP="00EC71FC">
      <w:pPr>
        <w:tabs>
          <w:tab w:val="left" w:pos="5285"/>
        </w:tabs>
        <w:jc w:val="both"/>
      </w:pPr>
      <w:r>
        <w:t xml:space="preserve">The PRI’s signatories are its greatest strength. Advisory </w:t>
      </w:r>
      <w:r w:rsidR="005A3DB9">
        <w:t>C</w:t>
      </w:r>
      <w:r>
        <w:t>ommittees and working groups (</w:t>
      </w:r>
      <w:r w:rsidRPr="00EC71FC">
        <w:rPr>
          <w:i/>
        </w:rPr>
        <w:t>together known as ‘signatory groups’</w:t>
      </w:r>
      <w:r>
        <w:t xml:space="preserve">) provide opportunities for signatories to convene, to share knowledge and to collaborate for change and impact. Through their work with signatory groups, the PRI </w:t>
      </w:r>
      <w:r w:rsidR="00BB25D9">
        <w:t xml:space="preserve">Executive (Executive) </w:t>
      </w:r>
      <w:r>
        <w:t>aims to deliver practical, action-oriented research, tools, events and support to signatories around the world.</w:t>
      </w:r>
    </w:p>
    <w:p w14:paraId="398368AF" w14:textId="77777777" w:rsidR="00EC1443" w:rsidRDefault="00EC1443" w:rsidP="00DD643B">
      <w:pPr>
        <w:jc w:val="both"/>
      </w:pPr>
    </w:p>
    <w:p w14:paraId="0153E60F" w14:textId="652789BC" w:rsidR="00B60A89" w:rsidRDefault="00DD643B" w:rsidP="00DD643B">
      <w:pPr>
        <w:jc w:val="both"/>
      </w:pPr>
      <w:r>
        <w:t xml:space="preserve">The Private Equity </w:t>
      </w:r>
      <w:r w:rsidR="007258DC">
        <w:t>Advisory</w:t>
      </w:r>
      <w:r>
        <w:t xml:space="preserve"> C</w:t>
      </w:r>
      <w:r w:rsidRPr="00ED1661">
        <w:t>ommittee</w:t>
      </w:r>
      <w:r w:rsidR="009E69D4">
        <w:t xml:space="preserve"> (PEAC)</w:t>
      </w:r>
      <w:r w:rsidRPr="00ED1661">
        <w:t xml:space="preserve"> advise</w:t>
      </w:r>
      <w:r>
        <w:t xml:space="preserve">s the </w:t>
      </w:r>
      <w:r w:rsidR="009E69D4">
        <w:t>Executive</w:t>
      </w:r>
      <w:r w:rsidRPr="00ED1661">
        <w:t xml:space="preserve"> on the </w:t>
      </w:r>
      <w:r>
        <w:t>strategy and execution</w:t>
      </w:r>
      <w:r w:rsidRPr="00ED1661">
        <w:t xml:space="preserve"> o</w:t>
      </w:r>
      <w:r>
        <w:t>f</w:t>
      </w:r>
      <w:r w:rsidRPr="00ED1661">
        <w:t xml:space="preserve"> the </w:t>
      </w:r>
      <w:r w:rsidR="00222315">
        <w:t xml:space="preserve">PRI </w:t>
      </w:r>
      <w:r>
        <w:t xml:space="preserve">private </w:t>
      </w:r>
      <w:r w:rsidR="00222315">
        <w:t>equity</w:t>
      </w:r>
      <w:r w:rsidR="00805EE5">
        <w:t xml:space="preserve"> (PE)</w:t>
      </w:r>
      <w:r w:rsidR="00222315">
        <w:t xml:space="preserve"> work stream</w:t>
      </w:r>
      <w:r w:rsidR="00BB25D9">
        <w:t xml:space="preserve">. </w:t>
      </w:r>
      <w:r w:rsidR="00B60A89">
        <w:t xml:space="preserve">The PE work stream was launched in 2008 with a handful of General Partners (GPs) and Fund of Funds and today is one of the PRI’s most mature with over </w:t>
      </w:r>
      <w:r w:rsidR="002B7ACA">
        <w:t>450</w:t>
      </w:r>
      <w:r w:rsidR="00B60A89">
        <w:t xml:space="preserve"> specialised private equity managers and more than </w:t>
      </w:r>
      <w:r w:rsidR="00232104">
        <w:t>250</w:t>
      </w:r>
      <w:r w:rsidR="00B60A89">
        <w:t xml:space="preserve"> Limited Partners (LPs) as PRI signatories.</w:t>
      </w:r>
      <w:r w:rsidR="002B09F8">
        <w:t xml:space="preserve"> The work stream is at the forefront of exploring the possibilities of ESG integration within PE investing, working with other industry associations to deliver widespread impact.</w:t>
      </w:r>
    </w:p>
    <w:p w14:paraId="0AAD70D2" w14:textId="77777777" w:rsidR="00B60A89" w:rsidRDefault="00B60A89" w:rsidP="00DD643B">
      <w:pPr>
        <w:jc w:val="both"/>
      </w:pPr>
    </w:p>
    <w:p w14:paraId="3ACDD194" w14:textId="19494D0E" w:rsidR="007258DC" w:rsidRDefault="00BB25D9" w:rsidP="00DD643B">
      <w:pPr>
        <w:jc w:val="both"/>
      </w:pPr>
      <w:r>
        <w:t>The PEAC</w:t>
      </w:r>
      <w:r w:rsidR="00EC1443">
        <w:t xml:space="preserve"> is composed of signatories that are demonstrating leadership in the implementation of the Six Principles</w:t>
      </w:r>
      <w:r>
        <w:t xml:space="preserve"> in PE investing</w:t>
      </w:r>
      <w:r w:rsidR="00222315">
        <w:t>.</w:t>
      </w:r>
      <w:r w:rsidR="00EC1443">
        <w:t xml:space="preserve"> </w:t>
      </w:r>
      <w:r w:rsidR="0038499E">
        <w:t>Through this</w:t>
      </w:r>
      <w:r w:rsidR="003B666A">
        <w:t xml:space="preserve"> </w:t>
      </w:r>
      <w:r w:rsidR="0038499E">
        <w:t>collaboration and expertise-sharing</w:t>
      </w:r>
      <w:r w:rsidR="003B666A">
        <w:t xml:space="preserve">, the work </w:t>
      </w:r>
      <w:proofErr w:type="gramStart"/>
      <w:r w:rsidR="003B666A">
        <w:t xml:space="preserve">stream </w:t>
      </w:r>
      <w:r w:rsidR="00EC1443">
        <w:t xml:space="preserve"> can</w:t>
      </w:r>
      <w:proofErr w:type="gramEnd"/>
      <w:r w:rsidR="00EC1443">
        <w:t xml:space="preserve"> achieve maximum impact</w:t>
      </w:r>
      <w:r w:rsidR="0038499E">
        <w:t xml:space="preserve"> </w:t>
      </w:r>
      <w:r w:rsidR="00EC1443">
        <w:t>in alignment with the overarching strategy of the PRI.</w:t>
      </w:r>
    </w:p>
    <w:p w14:paraId="04EDDCF8" w14:textId="77777777" w:rsidR="00EC1443" w:rsidRDefault="00EC1443" w:rsidP="00DD643B">
      <w:pPr>
        <w:jc w:val="both"/>
      </w:pPr>
    </w:p>
    <w:p w14:paraId="3442C8BF" w14:textId="25164629" w:rsidR="00EC1443" w:rsidRDefault="00EC1443" w:rsidP="00DD643B">
      <w:pPr>
        <w:jc w:val="both"/>
      </w:pPr>
      <w:r>
        <w:t xml:space="preserve">PEAC composition </w:t>
      </w:r>
      <w:r w:rsidR="008E11CA">
        <w:t xml:space="preserve">should be </w:t>
      </w:r>
      <w:proofErr w:type="gramStart"/>
      <w:r w:rsidR="008E11CA">
        <w:t>fairly representative</w:t>
      </w:r>
      <w:proofErr w:type="gramEnd"/>
      <w:r>
        <w:t xml:space="preserve"> of the PRI PE signatory base in order to best inform their discussions on work stream strategy. </w:t>
      </w:r>
      <w:r w:rsidR="00BB25D9">
        <w:t xml:space="preserve">The </w:t>
      </w:r>
      <w:r>
        <w:t xml:space="preserve">PEAC will also </w:t>
      </w:r>
      <w:proofErr w:type="gramStart"/>
      <w:r>
        <w:t>take into account</w:t>
      </w:r>
      <w:proofErr w:type="gramEnd"/>
      <w:r>
        <w:t xml:space="preserve"> signatory feedback through formal and informal channels in these discussions.</w:t>
      </w:r>
    </w:p>
    <w:p w14:paraId="0C28A175" w14:textId="77777777" w:rsidR="00AD65E1" w:rsidRDefault="00AD65E1" w:rsidP="00DD643B">
      <w:pPr>
        <w:jc w:val="both"/>
      </w:pPr>
    </w:p>
    <w:p w14:paraId="0E0CF0DC" w14:textId="3B2F09B5" w:rsidR="00AF48D6" w:rsidRDefault="0090100B" w:rsidP="0077467F">
      <w:pPr>
        <w:pStyle w:val="ListBullet"/>
        <w:numPr>
          <w:ilvl w:val="0"/>
          <w:numId w:val="0"/>
        </w:numPr>
      </w:pPr>
      <w:r>
        <w:t xml:space="preserve">This TOR has been drafted in full accordance with the </w:t>
      </w:r>
      <w:hyperlink r:id="rId11" w:history="1">
        <w:r w:rsidRPr="00031582">
          <w:rPr>
            <w:rStyle w:val="Hyperlink"/>
          </w:rPr>
          <w:t>PRI Rules for Advisory Committees and Working Groups</w:t>
        </w:r>
      </w:hyperlink>
      <w:r>
        <w:t xml:space="preserve"> (approved by the PRI Board in June 2015).</w:t>
      </w:r>
    </w:p>
    <w:p w14:paraId="64EE1261" w14:textId="4931F372" w:rsidR="00AD65E1" w:rsidRDefault="00AD65E1" w:rsidP="0077467F">
      <w:pPr>
        <w:pStyle w:val="ListBullet"/>
        <w:numPr>
          <w:ilvl w:val="0"/>
          <w:numId w:val="0"/>
        </w:numPr>
      </w:pPr>
    </w:p>
    <w:p w14:paraId="7449AAFF" w14:textId="77777777" w:rsidR="00AD65E1" w:rsidRDefault="00AD65E1" w:rsidP="0077467F">
      <w:pPr>
        <w:pStyle w:val="ListBullet"/>
        <w:numPr>
          <w:ilvl w:val="0"/>
          <w:numId w:val="0"/>
        </w:numPr>
      </w:pPr>
    </w:p>
    <w:p w14:paraId="51AEB4DC" w14:textId="77777777" w:rsidR="00AD65E1" w:rsidRDefault="00AD65E1" w:rsidP="0077467F">
      <w:pPr>
        <w:pStyle w:val="ListBullet"/>
        <w:numPr>
          <w:ilvl w:val="0"/>
          <w:numId w:val="0"/>
        </w:numPr>
      </w:pPr>
    </w:p>
    <w:p w14:paraId="4B4CE13A" w14:textId="77777777" w:rsidR="00AD65E1" w:rsidRDefault="00AD65E1" w:rsidP="0077467F">
      <w:pPr>
        <w:pStyle w:val="ListBullet"/>
        <w:numPr>
          <w:ilvl w:val="0"/>
          <w:numId w:val="0"/>
        </w:numPr>
      </w:pPr>
    </w:p>
    <w:p w14:paraId="11F29E09" w14:textId="77777777" w:rsidR="00AD65E1" w:rsidRDefault="00AD65E1" w:rsidP="0077467F">
      <w:pPr>
        <w:pStyle w:val="ListBullet"/>
        <w:numPr>
          <w:ilvl w:val="0"/>
          <w:numId w:val="0"/>
        </w:numPr>
      </w:pPr>
    </w:p>
    <w:p w14:paraId="557016F0" w14:textId="77777777" w:rsidR="00AD65E1" w:rsidRPr="0077467F" w:rsidRDefault="00AD65E1" w:rsidP="0077467F">
      <w:pPr>
        <w:pStyle w:val="ListBullet"/>
        <w:numPr>
          <w:ilvl w:val="0"/>
          <w:numId w:val="0"/>
        </w:numPr>
      </w:pPr>
    </w:p>
    <w:p w14:paraId="6003C939" w14:textId="3DFD583E" w:rsidR="00DD643B" w:rsidRDefault="0077467F" w:rsidP="00222315">
      <w:pPr>
        <w:pStyle w:val="Heading2"/>
        <w:numPr>
          <w:ilvl w:val="0"/>
          <w:numId w:val="22"/>
        </w:numPr>
        <w:tabs>
          <w:tab w:val="left" w:pos="2805"/>
        </w:tabs>
      </w:pPr>
      <w:r>
        <w:lastRenderedPageBreak/>
        <w:t>O</w:t>
      </w:r>
      <w:r w:rsidR="00DD643B">
        <w:t>bjectives</w:t>
      </w:r>
      <w:r w:rsidR="00DD643B">
        <w:tab/>
      </w:r>
    </w:p>
    <w:p w14:paraId="0C4B6757" w14:textId="77777777" w:rsidR="00222315" w:rsidRDefault="00222315" w:rsidP="00DD643B">
      <w:pPr>
        <w:jc w:val="both"/>
      </w:pPr>
    </w:p>
    <w:p w14:paraId="43C8254F" w14:textId="3432454F" w:rsidR="00DD643B" w:rsidRDefault="00222315" w:rsidP="00DD643B">
      <w:pPr>
        <w:jc w:val="both"/>
      </w:pPr>
      <w:r>
        <w:t xml:space="preserve">The </w:t>
      </w:r>
      <w:r w:rsidR="00805EE5">
        <w:t>PE</w:t>
      </w:r>
      <w:r w:rsidR="00DD643B">
        <w:t xml:space="preserve"> work </w:t>
      </w:r>
      <w:r w:rsidR="00EB0F88">
        <w:t xml:space="preserve">stream brings together </w:t>
      </w:r>
      <w:r w:rsidR="00C65993">
        <w:t>LPs</w:t>
      </w:r>
      <w:r>
        <w:t xml:space="preserve">, Funds of funds, </w:t>
      </w:r>
      <w:r w:rsidR="00C65993">
        <w:t xml:space="preserve">GPs </w:t>
      </w:r>
      <w:r>
        <w:t>and Advisors</w:t>
      </w:r>
      <w:r w:rsidR="00DD643B">
        <w:t xml:space="preserve"> </w:t>
      </w:r>
      <w:r w:rsidR="00DD643B" w:rsidRPr="00594D71">
        <w:t>to raise awareness and support implementation of the Principles.</w:t>
      </w:r>
    </w:p>
    <w:p w14:paraId="704C2415" w14:textId="77777777" w:rsidR="00222315" w:rsidRDefault="00222315" w:rsidP="00DD643B">
      <w:pPr>
        <w:jc w:val="both"/>
      </w:pPr>
    </w:p>
    <w:p w14:paraId="13ADD483" w14:textId="77777777" w:rsidR="00222315" w:rsidRPr="00594D71" w:rsidRDefault="00222315" w:rsidP="00DD643B">
      <w:pPr>
        <w:jc w:val="both"/>
      </w:pPr>
      <w:r>
        <w:t>The four work stream objectives are to:</w:t>
      </w:r>
    </w:p>
    <w:p w14:paraId="0EBE5A31" w14:textId="5D5A6F7C" w:rsidR="00DD643B" w:rsidRPr="00594D71" w:rsidRDefault="005D1831" w:rsidP="00222315">
      <w:pPr>
        <w:pStyle w:val="ListBullet"/>
        <w:rPr>
          <w:lang w:eastAsia="en-GB"/>
        </w:rPr>
      </w:pPr>
      <w:r>
        <w:rPr>
          <w:lang w:eastAsia="en-GB"/>
        </w:rPr>
        <w:t xml:space="preserve">Align: consolidate industry understanding of responsible investment </w:t>
      </w:r>
      <w:r w:rsidR="0097565A">
        <w:rPr>
          <w:lang w:eastAsia="en-GB"/>
        </w:rPr>
        <w:t>and align reporting practices;</w:t>
      </w:r>
    </w:p>
    <w:p w14:paraId="3796D0E9" w14:textId="60273C0A" w:rsidR="00DD643B" w:rsidRPr="00594D71" w:rsidRDefault="0097565A" w:rsidP="00222315">
      <w:pPr>
        <w:pStyle w:val="ListBullet"/>
        <w:rPr>
          <w:lang w:eastAsia="en-GB"/>
        </w:rPr>
      </w:pPr>
      <w:proofErr w:type="spellStart"/>
      <w:r>
        <w:rPr>
          <w:lang w:eastAsia="en-GB"/>
        </w:rPr>
        <w:t>Strategise</w:t>
      </w:r>
      <w:proofErr w:type="spellEnd"/>
      <w:r>
        <w:rPr>
          <w:lang w:eastAsia="en-GB"/>
        </w:rPr>
        <w:t>: b</w:t>
      </w:r>
      <w:r w:rsidR="009F5A5C">
        <w:rPr>
          <w:lang w:eastAsia="en-GB"/>
        </w:rPr>
        <w:t>uild and leverage</w:t>
      </w:r>
      <w:r w:rsidR="00224ADE">
        <w:rPr>
          <w:lang w:eastAsia="en-GB"/>
        </w:rPr>
        <w:t xml:space="preserve"> partnerships and strategic targets to achieve industry advancement and alignment;</w:t>
      </w:r>
    </w:p>
    <w:p w14:paraId="2FD93C95" w14:textId="4F776974" w:rsidR="00DD643B" w:rsidRPr="00594D71" w:rsidRDefault="00224ADE" w:rsidP="00222315">
      <w:pPr>
        <w:pStyle w:val="ListBullet"/>
        <w:rPr>
          <w:lang w:eastAsia="en-GB"/>
        </w:rPr>
      </w:pPr>
      <w:r>
        <w:rPr>
          <w:lang w:eastAsia="en-GB"/>
        </w:rPr>
        <w:t>Convene: support peer-to-peer learning and networking;</w:t>
      </w:r>
    </w:p>
    <w:p w14:paraId="3BF5F3F9" w14:textId="3B323ABF" w:rsidR="00DD643B" w:rsidRDefault="00196BD9" w:rsidP="00222315">
      <w:pPr>
        <w:pStyle w:val="ListBullet"/>
        <w:rPr>
          <w:lang w:eastAsia="en-GB"/>
        </w:rPr>
      </w:pPr>
      <w:r>
        <w:rPr>
          <w:lang w:eastAsia="en-GB"/>
        </w:rPr>
        <w:t>Lead: promote advancement of ESG integration practices and raise awareness about its value.</w:t>
      </w:r>
    </w:p>
    <w:p w14:paraId="659D7B1C" w14:textId="77777777" w:rsidR="00222315" w:rsidRDefault="00222315" w:rsidP="00222315"/>
    <w:p w14:paraId="6588D156" w14:textId="06517572" w:rsidR="00222315" w:rsidRPr="00DD643B" w:rsidRDefault="00222315" w:rsidP="00222315">
      <w:pPr>
        <w:rPr>
          <w:lang w:eastAsia="en-GB"/>
        </w:rPr>
      </w:pPr>
      <w:r>
        <w:t xml:space="preserve">These objectives have been defined by the Executive in partnership with the </w:t>
      </w:r>
      <w:r w:rsidR="00802724">
        <w:t>PEAC</w:t>
      </w:r>
      <w:r>
        <w:t xml:space="preserve">. </w:t>
      </w:r>
      <w:r w:rsidR="007258DC">
        <w:t>They can be refined over time</w:t>
      </w:r>
      <w:r w:rsidR="008E11CA">
        <w:t>;</w:t>
      </w:r>
      <w:r>
        <w:t xml:space="preserve"> any proposed</w:t>
      </w:r>
      <w:r w:rsidR="007258DC">
        <w:t xml:space="preserve"> changes </w:t>
      </w:r>
      <w:r w:rsidR="008E11CA">
        <w:t xml:space="preserve">must </w:t>
      </w:r>
      <w:r w:rsidR="007258DC">
        <w:t xml:space="preserve">be agreed with the </w:t>
      </w:r>
      <w:r w:rsidR="008E11CA">
        <w:t xml:space="preserve">PEAC </w:t>
      </w:r>
      <w:r w:rsidR="007258DC">
        <w:t>and</w:t>
      </w:r>
      <w:r w:rsidR="008E11CA">
        <w:t xml:space="preserve"> are subject to final approval by the Executive</w:t>
      </w:r>
      <w:r>
        <w:t>.</w:t>
      </w:r>
    </w:p>
    <w:p w14:paraId="5D633D59" w14:textId="77777777" w:rsidR="00222315" w:rsidRDefault="00222315" w:rsidP="00222315">
      <w:pPr>
        <w:pStyle w:val="Heading2"/>
        <w:numPr>
          <w:ilvl w:val="0"/>
          <w:numId w:val="22"/>
        </w:numPr>
      </w:pPr>
      <w:r>
        <w:t>MEMBERS</w:t>
      </w:r>
    </w:p>
    <w:p w14:paraId="43355D38" w14:textId="77777777" w:rsidR="00222315" w:rsidRDefault="00222315" w:rsidP="00222315"/>
    <w:p w14:paraId="7145F7AC" w14:textId="68ED047E" w:rsidR="00222315" w:rsidRDefault="00222315" w:rsidP="00222315">
      <w:pPr>
        <w:pStyle w:val="Heading3"/>
      </w:pPr>
      <w:r>
        <w:t>20</w:t>
      </w:r>
      <w:r w:rsidR="00122C1E">
        <w:t>20</w:t>
      </w:r>
      <w:r>
        <w:t xml:space="preserve"> membership</w:t>
      </w:r>
    </w:p>
    <w:tbl>
      <w:tblPr>
        <w:tblStyle w:val="LightShading-Accent1"/>
        <w:tblW w:w="9355" w:type="dxa"/>
        <w:tblLook w:val="04A0" w:firstRow="1" w:lastRow="0" w:firstColumn="1" w:lastColumn="0" w:noHBand="0" w:noVBand="1"/>
      </w:tblPr>
      <w:tblGrid>
        <w:gridCol w:w="2552"/>
        <w:gridCol w:w="4394"/>
        <w:gridCol w:w="2409"/>
      </w:tblGrid>
      <w:tr w:rsidR="00222315" w:rsidRPr="00222315" w14:paraId="72055615" w14:textId="77777777" w:rsidTr="00ED2A2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2" w:type="dxa"/>
            <w:noWrap/>
            <w:hideMark/>
          </w:tcPr>
          <w:p w14:paraId="153F447D" w14:textId="77777777" w:rsidR="00222315" w:rsidRPr="00222315" w:rsidRDefault="00222315" w:rsidP="00222315">
            <w:pPr>
              <w:spacing w:line="312" w:lineRule="auto"/>
              <w:jc w:val="center"/>
              <w:rPr>
                <w:bCs w:val="0"/>
                <w:color w:val="auto"/>
              </w:rPr>
            </w:pPr>
            <w:r w:rsidRPr="00222315">
              <w:rPr>
                <w:bCs w:val="0"/>
                <w:color w:val="auto"/>
              </w:rPr>
              <w:t>Name</w:t>
            </w:r>
          </w:p>
        </w:tc>
        <w:tc>
          <w:tcPr>
            <w:tcW w:w="4394" w:type="dxa"/>
            <w:noWrap/>
            <w:hideMark/>
          </w:tcPr>
          <w:p w14:paraId="37331D6B" w14:textId="77777777" w:rsidR="00222315" w:rsidRPr="00222315" w:rsidRDefault="00222315" w:rsidP="00222315">
            <w:pPr>
              <w:spacing w:line="312" w:lineRule="auto"/>
              <w:jc w:val="center"/>
              <w:cnfStyle w:val="100000000000" w:firstRow="1" w:lastRow="0" w:firstColumn="0" w:lastColumn="0" w:oddVBand="0" w:evenVBand="0" w:oddHBand="0" w:evenHBand="0" w:firstRowFirstColumn="0" w:firstRowLastColumn="0" w:lastRowFirstColumn="0" w:lastRowLastColumn="0"/>
              <w:rPr>
                <w:bCs w:val="0"/>
                <w:color w:val="auto"/>
              </w:rPr>
            </w:pPr>
            <w:r w:rsidRPr="00222315">
              <w:rPr>
                <w:bCs w:val="0"/>
                <w:color w:val="auto"/>
              </w:rPr>
              <w:t>Position</w:t>
            </w:r>
          </w:p>
        </w:tc>
        <w:tc>
          <w:tcPr>
            <w:tcW w:w="2409" w:type="dxa"/>
            <w:noWrap/>
            <w:hideMark/>
          </w:tcPr>
          <w:p w14:paraId="3EFC5994" w14:textId="77777777" w:rsidR="00222315" w:rsidRPr="00222315" w:rsidRDefault="00222315" w:rsidP="00222315">
            <w:pPr>
              <w:spacing w:line="312" w:lineRule="auto"/>
              <w:jc w:val="center"/>
              <w:cnfStyle w:val="100000000000" w:firstRow="1" w:lastRow="0" w:firstColumn="0" w:lastColumn="0" w:oddVBand="0" w:evenVBand="0" w:oddHBand="0" w:evenHBand="0" w:firstRowFirstColumn="0" w:firstRowLastColumn="0" w:lastRowFirstColumn="0" w:lastRowLastColumn="0"/>
              <w:rPr>
                <w:bCs w:val="0"/>
                <w:color w:val="auto"/>
              </w:rPr>
            </w:pPr>
            <w:r w:rsidRPr="00222315">
              <w:rPr>
                <w:bCs w:val="0"/>
                <w:color w:val="auto"/>
              </w:rPr>
              <w:t>Organisation</w:t>
            </w:r>
          </w:p>
        </w:tc>
      </w:tr>
      <w:tr w:rsidR="00BA55C3" w:rsidRPr="00222315" w14:paraId="75747F2D" w14:textId="77777777" w:rsidTr="00ED2A2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2" w:type="dxa"/>
            <w:noWrap/>
          </w:tcPr>
          <w:p w14:paraId="51C4633B" w14:textId="15638434" w:rsidR="00BA55C3" w:rsidRPr="00B0398B" w:rsidRDefault="00BA55C3" w:rsidP="00BA55C3">
            <w:pPr>
              <w:rPr>
                <w:b w:val="0"/>
                <w:bCs w:val="0"/>
                <w:color w:val="auto"/>
              </w:rPr>
            </w:pPr>
            <w:r>
              <w:rPr>
                <w:b w:val="0"/>
                <w:bCs w:val="0"/>
                <w:color w:val="auto"/>
              </w:rPr>
              <w:t>Michael Cappucci (Chair)</w:t>
            </w:r>
          </w:p>
        </w:tc>
        <w:tc>
          <w:tcPr>
            <w:tcW w:w="4394" w:type="dxa"/>
            <w:noWrap/>
          </w:tcPr>
          <w:p w14:paraId="761FB528" w14:textId="6AE43863" w:rsidR="00BA55C3" w:rsidRPr="00B0398B" w:rsidRDefault="00BA55C3" w:rsidP="00BA55C3">
            <w:pPr>
              <w:cnfStyle w:val="000000100000" w:firstRow="0" w:lastRow="0" w:firstColumn="0" w:lastColumn="0" w:oddVBand="0" w:evenVBand="0" w:oddHBand="1" w:evenHBand="0" w:firstRowFirstColumn="0" w:firstRowLastColumn="0" w:lastRowFirstColumn="0" w:lastRowLastColumn="0"/>
              <w:rPr>
                <w:color w:val="auto"/>
              </w:rPr>
            </w:pPr>
            <w:r w:rsidRPr="00941778">
              <w:rPr>
                <w:bCs/>
                <w:color w:val="auto"/>
              </w:rPr>
              <w:t>Senior Vice President - Sustainable Investing</w:t>
            </w:r>
          </w:p>
        </w:tc>
        <w:tc>
          <w:tcPr>
            <w:tcW w:w="2409" w:type="dxa"/>
            <w:noWrap/>
          </w:tcPr>
          <w:p w14:paraId="3975C0DC" w14:textId="5D544A27" w:rsidR="00BA55C3" w:rsidRPr="00B0398B" w:rsidRDefault="00BA55C3" w:rsidP="00BA55C3">
            <w:pPr>
              <w:tabs>
                <w:tab w:val="center" w:pos="1096"/>
              </w:tabs>
              <w:cnfStyle w:val="000000100000" w:firstRow="0" w:lastRow="0" w:firstColumn="0" w:lastColumn="0" w:oddVBand="0" w:evenVBand="0" w:oddHBand="1" w:evenHBand="0" w:firstRowFirstColumn="0" w:firstRowLastColumn="0" w:lastRowFirstColumn="0" w:lastRowLastColumn="0"/>
              <w:rPr>
                <w:color w:val="auto"/>
              </w:rPr>
            </w:pPr>
            <w:r w:rsidRPr="00941778">
              <w:rPr>
                <w:bCs/>
                <w:color w:val="auto"/>
              </w:rPr>
              <w:t>Harvard M</w:t>
            </w:r>
            <w:r>
              <w:rPr>
                <w:bCs/>
                <w:color w:val="auto"/>
              </w:rPr>
              <w:t>anagement Co</w:t>
            </w:r>
          </w:p>
        </w:tc>
      </w:tr>
      <w:tr w:rsidR="00BA55C3" w:rsidRPr="00222315" w14:paraId="1A05FE54" w14:textId="77777777" w:rsidTr="00ED2A22">
        <w:trPr>
          <w:trHeight w:val="315"/>
        </w:trPr>
        <w:tc>
          <w:tcPr>
            <w:cnfStyle w:val="001000000000" w:firstRow="0" w:lastRow="0" w:firstColumn="1" w:lastColumn="0" w:oddVBand="0" w:evenVBand="0" w:oddHBand="0" w:evenHBand="0" w:firstRowFirstColumn="0" w:firstRowLastColumn="0" w:lastRowFirstColumn="0" w:lastRowLastColumn="0"/>
            <w:tcW w:w="2552" w:type="dxa"/>
            <w:noWrap/>
          </w:tcPr>
          <w:p w14:paraId="4573B51F" w14:textId="59DD3B63" w:rsidR="00BA55C3" w:rsidRPr="00095AFB" w:rsidRDefault="00CE45A7" w:rsidP="00BA55C3">
            <w:pPr>
              <w:rPr>
                <w:b w:val="0"/>
                <w:color w:val="auto"/>
              </w:rPr>
            </w:pPr>
            <w:r w:rsidRPr="00CE45A7">
              <w:rPr>
                <w:b w:val="0"/>
                <w:color w:val="auto"/>
              </w:rPr>
              <w:t>Noëlla de Bermingham</w:t>
            </w:r>
          </w:p>
        </w:tc>
        <w:tc>
          <w:tcPr>
            <w:tcW w:w="4394" w:type="dxa"/>
            <w:noWrap/>
          </w:tcPr>
          <w:p w14:paraId="02F84640" w14:textId="392C7A23" w:rsidR="00BA55C3" w:rsidRPr="00095AFB" w:rsidRDefault="00B56DDF" w:rsidP="00BA55C3">
            <w:pPr>
              <w:cnfStyle w:val="000000000000" w:firstRow="0" w:lastRow="0" w:firstColumn="0" w:lastColumn="0" w:oddVBand="0" w:evenVBand="0" w:oddHBand="0" w:evenHBand="0" w:firstRowFirstColumn="0" w:firstRowLastColumn="0" w:lastRowFirstColumn="0" w:lastRowLastColumn="0"/>
              <w:rPr>
                <w:bCs/>
                <w:color w:val="auto"/>
              </w:rPr>
            </w:pPr>
            <w:r>
              <w:rPr>
                <w:bCs/>
                <w:color w:val="auto"/>
              </w:rPr>
              <w:t>Deputy Head of CSR</w:t>
            </w:r>
          </w:p>
        </w:tc>
        <w:tc>
          <w:tcPr>
            <w:tcW w:w="2409" w:type="dxa"/>
            <w:noWrap/>
          </w:tcPr>
          <w:p w14:paraId="09ABAC84" w14:textId="17ADD6AF" w:rsidR="00BA55C3" w:rsidRPr="00095AFB" w:rsidRDefault="002C6BDF" w:rsidP="00BA55C3">
            <w:pPr>
              <w:cnfStyle w:val="000000000000" w:firstRow="0" w:lastRow="0" w:firstColumn="0" w:lastColumn="0" w:oddVBand="0" w:evenVBand="0" w:oddHBand="0" w:evenHBand="0" w:firstRowFirstColumn="0" w:firstRowLastColumn="0" w:lastRowFirstColumn="0" w:lastRowLastColumn="0"/>
              <w:rPr>
                <w:color w:val="auto"/>
              </w:rPr>
            </w:pPr>
            <w:proofErr w:type="spellStart"/>
            <w:r>
              <w:rPr>
                <w:color w:val="auto"/>
              </w:rPr>
              <w:t>Eurazeo</w:t>
            </w:r>
            <w:proofErr w:type="spellEnd"/>
          </w:p>
        </w:tc>
      </w:tr>
      <w:tr w:rsidR="00BA55C3" w:rsidRPr="00222315" w14:paraId="51FB96BF" w14:textId="77777777" w:rsidTr="00ED2A2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2" w:type="dxa"/>
            <w:noWrap/>
          </w:tcPr>
          <w:p w14:paraId="18678CEA" w14:textId="7B699D7C" w:rsidR="00BA55C3" w:rsidRPr="00095AFB" w:rsidRDefault="00BA55C3" w:rsidP="00BA55C3">
            <w:pPr>
              <w:rPr>
                <w:b w:val="0"/>
                <w:color w:val="auto"/>
              </w:rPr>
            </w:pPr>
            <w:r>
              <w:rPr>
                <w:b w:val="0"/>
                <w:color w:val="auto"/>
              </w:rPr>
              <w:t>James Holley</w:t>
            </w:r>
          </w:p>
        </w:tc>
        <w:tc>
          <w:tcPr>
            <w:tcW w:w="4394" w:type="dxa"/>
            <w:noWrap/>
          </w:tcPr>
          <w:p w14:paraId="57959EC2" w14:textId="7A16078A" w:rsidR="00BA55C3" w:rsidRPr="00095AFB" w:rsidRDefault="00BA55C3" w:rsidP="00BA55C3">
            <w:pPr>
              <w:cnfStyle w:val="000000100000" w:firstRow="0" w:lastRow="0" w:firstColumn="0" w:lastColumn="0" w:oddVBand="0" w:evenVBand="0" w:oddHBand="1" w:evenHBand="0" w:firstRowFirstColumn="0" w:firstRowLastColumn="0" w:lastRowFirstColumn="0" w:lastRowLastColumn="0"/>
              <w:rPr>
                <w:color w:val="auto"/>
              </w:rPr>
            </w:pPr>
            <w:r>
              <w:rPr>
                <w:color w:val="auto"/>
              </w:rPr>
              <w:t>Head of ESG</w:t>
            </w:r>
          </w:p>
        </w:tc>
        <w:tc>
          <w:tcPr>
            <w:tcW w:w="2409" w:type="dxa"/>
            <w:noWrap/>
          </w:tcPr>
          <w:p w14:paraId="21F869B2" w14:textId="35D317AB" w:rsidR="00BA55C3" w:rsidRPr="00095AFB" w:rsidRDefault="00BA55C3" w:rsidP="00BA55C3">
            <w:pPr>
              <w:cnfStyle w:val="000000100000" w:firstRow="0" w:lastRow="0" w:firstColumn="0" w:lastColumn="0" w:oddVBand="0" w:evenVBand="0" w:oddHBand="1" w:evenHBand="0" w:firstRowFirstColumn="0" w:firstRowLastColumn="0" w:lastRowFirstColumn="0" w:lastRowLastColumn="0"/>
              <w:rPr>
                <w:color w:val="auto"/>
              </w:rPr>
            </w:pPr>
            <w:r>
              <w:rPr>
                <w:color w:val="auto"/>
              </w:rPr>
              <w:t>Bridgepoint</w:t>
            </w:r>
          </w:p>
        </w:tc>
      </w:tr>
      <w:tr w:rsidR="00BA55C3" w:rsidRPr="00222315" w14:paraId="71C6710D" w14:textId="77777777" w:rsidTr="00ED2A22">
        <w:trPr>
          <w:trHeight w:val="315"/>
        </w:trPr>
        <w:tc>
          <w:tcPr>
            <w:cnfStyle w:val="001000000000" w:firstRow="0" w:lastRow="0" w:firstColumn="1" w:lastColumn="0" w:oddVBand="0" w:evenVBand="0" w:oddHBand="0" w:evenHBand="0" w:firstRowFirstColumn="0" w:firstRowLastColumn="0" w:lastRowFirstColumn="0" w:lastRowLastColumn="0"/>
            <w:tcW w:w="2552" w:type="dxa"/>
            <w:noWrap/>
          </w:tcPr>
          <w:p w14:paraId="1DBB26CF" w14:textId="625D3F96" w:rsidR="00BA55C3" w:rsidRPr="00941778" w:rsidRDefault="00BA55C3" w:rsidP="00BA55C3">
            <w:pPr>
              <w:rPr>
                <w:b w:val="0"/>
                <w:color w:val="auto"/>
              </w:rPr>
            </w:pPr>
            <w:r w:rsidRPr="00941778">
              <w:rPr>
                <w:b w:val="0"/>
                <w:color w:val="auto"/>
              </w:rPr>
              <w:t>Tammy Bodnar</w:t>
            </w:r>
          </w:p>
        </w:tc>
        <w:tc>
          <w:tcPr>
            <w:tcW w:w="4394" w:type="dxa"/>
            <w:noWrap/>
          </w:tcPr>
          <w:p w14:paraId="2FCC90B7" w14:textId="14DE3C5D" w:rsidR="00BA55C3" w:rsidRPr="00941778" w:rsidRDefault="00BA55C3" w:rsidP="00BA55C3">
            <w:pPr>
              <w:cnfStyle w:val="000000000000" w:firstRow="0" w:lastRow="0" w:firstColumn="0" w:lastColumn="0" w:oddVBand="0" w:evenVBand="0" w:oddHBand="0" w:evenHBand="0" w:firstRowFirstColumn="0" w:firstRowLastColumn="0" w:lastRowFirstColumn="0" w:lastRowLastColumn="0"/>
              <w:rPr>
                <w:bCs/>
                <w:color w:val="auto"/>
              </w:rPr>
            </w:pPr>
            <w:r w:rsidRPr="00941778">
              <w:rPr>
                <w:bCs/>
                <w:color w:val="auto"/>
              </w:rPr>
              <w:t>Senior Associate, Sustainable Investing</w:t>
            </w:r>
          </w:p>
        </w:tc>
        <w:tc>
          <w:tcPr>
            <w:tcW w:w="2409" w:type="dxa"/>
            <w:noWrap/>
          </w:tcPr>
          <w:p w14:paraId="55D89B30" w14:textId="5F52E8CF" w:rsidR="00BA55C3" w:rsidRPr="00941778" w:rsidRDefault="00BA55C3" w:rsidP="00BA55C3">
            <w:pPr>
              <w:cnfStyle w:val="000000000000" w:firstRow="0" w:lastRow="0" w:firstColumn="0" w:lastColumn="0" w:oddVBand="0" w:evenVBand="0" w:oddHBand="0" w:evenHBand="0" w:firstRowFirstColumn="0" w:firstRowLastColumn="0" w:lastRowFirstColumn="0" w:lastRowLastColumn="0"/>
              <w:rPr>
                <w:bCs/>
                <w:color w:val="auto"/>
              </w:rPr>
            </w:pPr>
            <w:r w:rsidRPr="00941778">
              <w:rPr>
                <w:bCs/>
                <w:color w:val="auto"/>
              </w:rPr>
              <w:t>CPPIB</w:t>
            </w:r>
          </w:p>
        </w:tc>
      </w:tr>
      <w:tr w:rsidR="00BA55C3" w:rsidRPr="00222315" w14:paraId="0BC7DD15" w14:textId="77777777" w:rsidTr="00ED2A2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2" w:type="dxa"/>
            <w:noWrap/>
          </w:tcPr>
          <w:p w14:paraId="71ADB23E" w14:textId="2F25F012" w:rsidR="00BA55C3" w:rsidRPr="00095AFB" w:rsidRDefault="00FD4989" w:rsidP="00BA55C3">
            <w:pPr>
              <w:rPr>
                <w:b w:val="0"/>
                <w:color w:val="auto"/>
              </w:rPr>
            </w:pPr>
            <w:r>
              <w:rPr>
                <w:b w:val="0"/>
                <w:color w:val="auto"/>
              </w:rPr>
              <w:t>Julia Wittlin</w:t>
            </w:r>
          </w:p>
        </w:tc>
        <w:tc>
          <w:tcPr>
            <w:tcW w:w="4394" w:type="dxa"/>
            <w:noWrap/>
          </w:tcPr>
          <w:p w14:paraId="2F9BF88C" w14:textId="7E02A4E9" w:rsidR="00BA55C3" w:rsidRPr="00095AFB" w:rsidRDefault="00C87199" w:rsidP="00BA55C3">
            <w:pPr>
              <w:cnfStyle w:val="000000100000" w:firstRow="0" w:lastRow="0" w:firstColumn="0" w:lastColumn="0" w:oddVBand="0" w:evenVBand="0" w:oddHBand="1" w:evenHBand="0" w:firstRowFirstColumn="0" w:firstRowLastColumn="0" w:lastRowFirstColumn="0" w:lastRowLastColumn="0"/>
              <w:rPr>
                <w:bCs/>
                <w:color w:val="auto"/>
              </w:rPr>
            </w:pPr>
            <w:r>
              <w:rPr>
                <w:bCs/>
                <w:color w:val="auto"/>
              </w:rPr>
              <w:t>MD, Portfolio Manager</w:t>
            </w:r>
          </w:p>
        </w:tc>
        <w:tc>
          <w:tcPr>
            <w:tcW w:w="2409" w:type="dxa"/>
            <w:noWrap/>
          </w:tcPr>
          <w:p w14:paraId="0D9AEECD" w14:textId="2DD7875A" w:rsidR="00BA55C3" w:rsidRPr="00095AFB" w:rsidRDefault="004A21F4" w:rsidP="00BA55C3">
            <w:pPr>
              <w:cnfStyle w:val="000000100000" w:firstRow="0" w:lastRow="0" w:firstColumn="0" w:lastColumn="0" w:oddVBand="0" w:evenVBand="0" w:oddHBand="1" w:evenHBand="0" w:firstRowFirstColumn="0" w:firstRowLastColumn="0" w:lastRowFirstColumn="0" w:lastRowLastColumn="0"/>
              <w:rPr>
                <w:color w:val="auto"/>
              </w:rPr>
            </w:pPr>
            <w:r>
              <w:rPr>
                <w:color w:val="auto"/>
              </w:rPr>
              <w:t>Blackrock</w:t>
            </w:r>
          </w:p>
        </w:tc>
      </w:tr>
      <w:tr w:rsidR="00BA55C3" w:rsidRPr="00941778" w14:paraId="284871C3" w14:textId="77777777" w:rsidTr="00ED2A22">
        <w:trPr>
          <w:trHeight w:val="315"/>
        </w:trPr>
        <w:tc>
          <w:tcPr>
            <w:cnfStyle w:val="001000000000" w:firstRow="0" w:lastRow="0" w:firstColumn="1" w:lastColumn="0" w:oddVBand="0" w:evenVBand="0" w:oddHBand="0" w:evenHBand="0" w:firstRowFirstColumn="0" w:firstRowLastColumn="0" w:lastRowFirstColumn="0" w:lastRowLastColumn="0"/>
            <w:tcW w:w="2552" w:type="dxa"/>
            <w:noWrap/>
          </w:tcPr>
          <w:p w14:paraId="519F9D01" w14:textId="1DFE6411" w:rsidR="00BA55C3" w:rsidRPr="00941778" w:rsidRDefault="00531FF0" w:rsidP="00BA55C3">
            <w:pPr>
              <w:rPr>
                <w:b w:val="0"/>
                <w:color w:val="auto"/>
              </w:rPr>
            </w:pPr>
            <w:r>
              <w:rPr>
                <w:b w:val="0"/>
                <w:color w:val="auto"/>
              </w:rPr>
              <w:t>Anna F</w:t>
            </w:r>
            <w:r w:rsidR="00400805">
              <w:rPr>
                <w:b w:val="0"/>
                <w:color w:val="auto"/>
              </w:rPr>
              <w:t>oll</w:t>
            </w:r>
            <w:r w:rsidR="00400805">
              <w:rPr>
                <w:rFonts w:cs="Arial"/>
                <w:b w:val="0"/>
                <w:color w:val="auto"/>
              </w:rPr>
              <w:t>é</w:t>
            </w:r>
            <w:r w:rsidR="00400805">
              <w:rPr>
                <w:b w:val="0"/>
                <w:color w:val="auto"/>
              </w:rPr>
              <w:t>r</w:t>
            </w:r>
          </w:p>
        </w:tc>
        <w:tc>
          <w:tcPr>
            <w:tcW w:w="4394" w:type="dxa"/>
            <w:noWrap/>
          </w:tcPr>
          <w:p w14:paraId="73570886" w14:textId="11FB13AB" w:rsidR="00BA55C3" w:rsidRPr="00941778" w:rsidRDefault="000D4C73" w:rsidP="00BA55C3">
            <w:pPr>
              <w:cnfStyle w:val="000000000000" w:firstRow="0" w:lastRow="0" w:firstColumn="0" w:lastColumn="0" w:oddVBand="0" w:evenVBand="0" w:oddHBand="0" w:evenHBand="0" w:firstRowFirstColumn="0" w:firstRowLastColumn="0" w:lastRowFirstColumn="0" w:lastRowLastColumn="0"/>
              <w:rPr>
                <w:bCs/>
                <w:color w:val="auto"/>
              </w:rPr>
            </w:pPr>
            <w:r>
              <w:rPr>
                <w:bCs/>
                <w:color w:val="auto"/>
              </w:rPr>
              <w:t>Sustainability Manager</w:t>
            </w:r>
          </w:p>
        </w:tc>
        <w:tc>
          <w:tcPr>
            <w:tcW w:w="2409" w:type="dxa"/>
            <w:noWrap/>
          </w:tcPr>
          <w:p w14:paraId="6CEF02B9" w14:textId="07940B40" w:rsidR="00BA55C3" w:rsidRPr="00941778" w:rsidRDefault="00D7512E" w:rsidP="00BA55C3">
            <w:pPr>
              <w:cnfStyle w:val="000000000000" w:firstRow="0" w:lastRow="0" w:firstColumn="0" w:lastColumn="0" w:oddVBand="0" w:evenVBand="0" w:oddHBand="0" w:evenHBand="0" w:firstRowFirstColumn="0" w:firstRowLastColumn="0" w:lastRowFirstColumn="0" w:lastRowLastColumn="0"/>
              <w:rPr>
                <w:bCs/>
                <w:color w:val="auto"/>
              </w:rPr>
            </w:pPr>
            <w:r>
              <w:rPr>
                <w:bCs/>
                <w:color w:val="auto"/>
              </w:rPr>
              <w:t>AP6</w:t>
            </w:r>
          </w:p>
        </w:tc>
      </w:tr>
      <w:tr w:rsidR="00BA55C3" w:rsidRPr="00222315" w14:paraId="7CB3B860" w14:textId="77777777" w:rsidTr="00ED2A2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2" w:type="dxa"/>
            <w:noWrap/>
          </w:tcPr>
          <w:p w14:paraId="048301CD" w14:textId="267C9CE7" w:rsidR="00BA55C3" w:rsidRPr="00AB5014" w:rsidRDefault="00BA55C3" w:rsidP="00BA55C3">
            <w:pPr>
              <w:rPr>
                <w:b w:val="0"/>
                <w:color w:val="auto"/>
              </w:rPr>
            </w:pPr>
            <w:r w:rsidRPr="00AB5014">
              <w:rPr>
                <w:b w:val="0"/>
                <w:color w:val="auto"/>
              </w:rPr>
              <w:t>Scott Z</w:t>
            </w:r>
            <w:r>
              <w:rPr>
                <w:b w:val="0"/>
                <w:color w:val="auto"/>
              </w:rPr>
              <w:t>drazil</w:t>
            </w:r>
          </w:p>
        </w:tc>
        <w:tc>
          <w:tcPr>
            <w:tcW w:w="4394" w:type="dxa"/>
            <w:noWrap/>
          </w:tcPr>
          <w:p w14:paraId="30E8BCD0" w14:textId="7226B4F4" w:rsidR="00BA55C3" w:rsidRPr="00AB5014" w:rsidRDefault="00BA55C3" w:rsidP="00BA55C3">
            <w:pPr>
              <w:cnfStyle w:val="000000100000" w:firstRow="0" w:lastRow="0" w:firstColumn="0" w:lastColumn="0" w:oddVBand="0" w:evenVBand="0" w:oddHBand="1" w:evenHBand="0" w:firstRowFirstColumn="0" w:firstRowLastColumn="0" w:lastRowFirstColumn="0" w:lastRowLastColumn="0"/>
              <w:rPr>
                <w:bCs/>
                <w:color w:val="auto"/>
              </w:rPr>
            </w:pPr>
            <w:r>
              <w:rPr>
                <w:bCs/>
                <w:color w:val="auto"/>
              </w:rPr>
              <w:t>Senior Investment Officer</w:t>
            </w:r>
          </w:p>
        </w:tc>
        <w:tc>
          <w:tcPr>
            <w:tcW w:w="2409" w:type="dxa"/>
            <w:noWrap/>
          </w:tcPr>
          <w:p w14:paraId="6BA038E6" w14:textId="7AF1F871" w:rsidR="00BA55C3" w:rsidRPr="00AB5014" w:rsidRDefault="00BA55C3" w:rsidP="00BA55C3">
            <w:pPr>
              <w:cnfStyle w:val="000000100000" w:firstRow="0" w:lastRow="0" w:firstColumn="0" w:lastColumn="0" w:oddVBand="0" w:evenVBand="0" w:oddHBand="1" w:evenHBand="0" w:firstRowFirstColumn="0" w:firstRowLastColumn="0" w:lastRowFirstColumn="0" w:lastRowLastColumn="0"/>
              <w:rPr>
                <w:bCs/>
                <w:color w:val="auto"/>
              </w:rPr>
            </w:pPr>
            <w:r>
              <w:rPr>
                <w:bCs/>
                <w:color w:val="auto"/>
              </w:rPr>
              <w:t>LACERA</w:t>
            </w:r>
          </w:p>
        </w:tc>
      </w:tr>
      <w:tr w:rsidR="00E63662" w:rsidRPr="00222315" w14:paraId="4DA93153" w14:textId="77777777" w:rsidTr="00ED2A22">
        <w:trPr>
          <w:trHeight w:val="315"/>
        </w:trPr>
        <w:tc>
          <w:tcPr>
            <w:cnfStyle w:val="001000000000" w:firstRow="0" w:lastRow="0" w:firstColumn="1" w:lastColumn="0" w:oddVBand="0" w:evenVBand="0" w:oddHBand="0" w:evenHBand="0" w:firstRowFirstColumn="0" w:firstRowLastColumn="0" w:lastRowFirstColumn="0" w:lastRowLastColumn="0"/>
            <w:tcW w:w="2552" w:type="dxa"/>
            <w:noWrap/>
          </w:tcPr>
          <w:p w14:paraId="13C64E0A" w14:textId="7DB69B65" w:rsidR="00E63662" w:rsidRPr="008317D9" w:rsidRDefault="00E63662" w:rsidP="00BA55C3">
            <w:pPr>
              <w:rPr>
                <w:b w:val="0"/>
                <w:bCs w:val="0"/>
              </w:rPr>
            </w:pPr>
            <w:r w:rsidRPr="008317D9">
              <w:rPr>
                <w:b w:val="0"/>
                <w:bCs w:val="0"/>
                <w:color w:val="000000" w:themeColor="text1"/>
              </w:rPr>
              <w:t>Nicole Wilson</w:t>
            </w:r>
          </w:p>
        </w:tc>
        <w:tc>
          <w:tcPr>
            <w:tcW w:w="4394" w:type="dxa"/>
            <w:noWrap/>
          </w:tcPr>
          <w:p w14:paraId="39AC855D" w14:textId="6B31A3B6" w:rsidR="00E63662" w:rsidRPr="000D4C73" w:rsidRDefault="000D4C73" w:rsidP="00BA55C3">
            <w:pPr>
              <w:cnfStyle w:val="000000000000" w:firstRow="0" w:lastRow="0" w:firstColumn="0" w:lastColumn="0" w:oddVBand="0" w:evenVBand="0" w:oddHBand="0" w:evenHBand="0" w:firstRowFirstColumn="0" w:firstRowLastColumn="0" w:lastRowFirstColumn="0" w:lastRowLastColumn="0"/>
              <w:rPr>
                <w:bCs/>
                <w:color w:val="000000" w:themeColor="text1"/>
              </w:rPr>
            </w:pPr>
            <w:r w:rsidRPr="000D4C73">
              <w:rPr>
                <w:bCs/>
                <w:color w:val="000000" w:themeColor="text1"/>
              </w:rPr>
              <w:t>Manager, Responsible Investment</w:t>
            </w:r>
          </w:p>
        </w:tc>
        <w:tc>
          <w:tcPr>
            <w:tcW w:w="2409" w:type="dxa"/>
            <w:noWrap/>
          </w:tcPr>
          <w:p w14:paraId="2A850F50" w14:textId="687BDB09" w:rsidR="00E63662" w:rsidRDefault="00E63662" w:rsidP="00BA55C3">
            <w:pPr>
              <w:cnfStyle w:val="000000000000" w:firstRow="0" w:lastRow="0" w:firstColumn="0" w:lastColumn="0" w:oddVBand="0" w:evenVBand="0" w:oddHBand="0" w:evenHBand="0" w:firstRowFirstColumn="0" w:firstRowLastColumn="0" w:lastRowFirstColumn="0" w:lastRowLastColumn="0"/>
              <w:rPr>
                <w:bCs/>
              </w:rPr>
            </w:pPr>
            <w:r w:rsidRPr="008317D9">
              <w:rPr>
                <w:bCs/>
                <w:color w:val="000000" w:themeColor="text1"/>
              </w:rPr>
              <w:t>PSP</w:t>
            </w:r>
          </w:p>
        </w:tc>
      </w:tr>
      <w:tr w:rsidR="00BA55C3" w:rsidRPr="00222315" w14:paraId="6571D6EE" w14:textId="77777777" w:rsidTr="00ED2A2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2" w:type="dxa"/>
            <w:noWrap/>
          </w:tcPr>
          <w:p w14:paraId="569CF59F" w14:textId="0142B197" w:rsidR="00BA55C3" w:rsidRPr="00AB5014" w:rsidRDefault="00BA55C3" w:rsidP="00BA55C3">
            <w:pPr>
              <w:rPr>
                <w:b w:val="0"/>
                <w:color w:val="auto"/>
              </w:rPr>
            </w:pPr>
            <w:r>
              <w:rPr>
                <w:b w:val="0"/>
                <w:color w:val="auto"/>
              </w:rPr>
              <w:t>Jennifer Signori</w:t>
            </w:r>
          </w:p>
        </w:tc>
        <w:tc>
          <w:tcPr>
            <w:tcW w:w="4394" w:type="dxa"/>
            <w:noWrap/>
          </w:tcPr>
          <w:p w14:paraId="5E87B4AB" w14:textId="3AB4AC07" w:rsidR="00BA55C3" w:rsidRPr="00AB5014" w:rsidRDefault="00BA55C3" w:rsidP="00BA55C3">
            <w:pPr>
              <w:cnfStyle w:val="000000100000" w:firstRow="0" w:lastRow="0" w:firstColumn="0" w:lastColumn="0" w:oddVBand="0" w:evenVBand="0" w:oddHBand="1" w:evenHBand="0" w:firstRowFirstColumn="0" w:firstRowLastColumn="0" w:lastRowFirstColumn="0" w:lastRowLastColumn="0"/>
              <w:rPr>
                <w:bCs/>
                <w:color w:val="auto"/>
              </w:rPr>
            </w:pPr>
            <w:r>
              <w:rPr>
                <w:bCs/>
                <w:color w:val="auto"/>
              </w:rPr>
              <w:t>Senior VP – ESG and Impact Investing</w:t>
            </w:r>
          </w:p>
        </w:tc>
        <w:tc>
          <w:tcPr>
            <w:tcW w:w="2409" w:type="dxa"/>
            <w:noWrap/>
          </w:tcPr>
          <w:p w14:paraId="172AF125" w14:textId="6D40EF2B" w:rsidR="00BA55C3" w:rsidRPr="00AB5014" w:rsidRDefault="00BA55C3" w:rsidP="00BA55C3">
            <w:pPr>
              <w:cnfStyle w:val="000000100000" w:firstRow="0" w:lastRow="0" w:firstColumn="0" w:lastColumn="0" w:oddVBand="0" w:evenVBand="0" w:oddHBand="1" w:evenHBand="0" w:firstRowFirstColumn="0" w:firstRowLastColumn="0" w:lastRowFirstColumn="0" w:lastRowLastColumn="0"/>
              <w:rPr>
                <w:bCs/>
                <w:color w:val="auto"/>
              </w:rPr>
            </w:pPr>
            <w:r>
              <w:rPr>
                <w:bCs/>
                <w:color w:val="auto"/>
              </w:rPr>
              <w:t>Neuberger Berman</w:t>
            </w:r>
          </w:p>
        </w:tc>
      </w:tr>
      <w:tr w:rsidR="00BA55C3" w:rsidRPr="00222315" w14:paraId="7F035859" w14:textId="77777777" w:rsidTr="00ED2A22">
        <w:trPr>
          <w:trHeight w:val="315"/>
        </w:trPr>
        <w:tc>
          <w:tcPr>
            <w:cnfStyle w:val="001000000000" w:firstRow="0" w:lastRow="0" w:firstColumn="1" w:lastColumn="0" w:oddVBand="0" w:evenVBand="0" w:oddHBand="0" w:evenHBand="0" w:firstRowFirstColumn="0" w:firstRowLastColumn="0" w:lastRowFirstColumn="0" w:lastRowLastColumn="0"/>
            <w:tcW w:w="2552" w:type="dxa"/>
            <w:noWrap/>
          </w:tcPr>
          <w:p w14:paraId="665E3A8F" w14:textId="4B8646D9" w:rsidR="00BA55C3" w:rsidRPr="00AB5014" w:rsidRDefault="00BA55C3" w:rsidP="00BA55C3">
            <w:pPr>
              <w:rPr>
                <w:b w:val="0"/>
                <w:color w:val="auto"/>
              </w:rPr>
            </w:pPr>
            <w:r>
              <w:rPr>
                <w:b w:val="0"/>
                <w:color w:val="auto"/>
              </w:rPr>
              <w:t>Ignacio Sarria</w:t>
            </w:r>
          </w:p>
        </w:tc>
        <w:tc>
          <w:tcPr>
            <w:tcW w:w="4394" w:type="dxa"/>
            <w:noWrap/>
          </w:tcPr>
          <w:p w14:paraId="47F95DFC" w14:textId="4179574A" w:rsidR="00BA55C3" w:rsidRPr="00AB5014" w:rsidRDefault="00BA55C3" w:rsidP="00BA55C3">
            <w:pPr>
              <w:cnfStyle w:val="000000000000" w:firstRow="0" w:lastRow="0" w:firstColumn="0" w:lastColumn="0" w:oddVBand="0" w:evenVBand="0" w:oddHBand="0" w:evenHBand="0" w:firstRowFirstColumn="0" w:firstRowLastColumn="0" w:lastRowFirstColumn="0" w:lastRowLastColumn="0"/>
              <w:rPr>
                <w:bCs/>
                <w:color w:val="auto"/>
              </w:rPr>
            </w:pPr>
            <w:r>
              <w:rPr>
                <w:bCs/>
                <w:color w:val="auto"/>
              </w:rPr>
              <w:t>Managing Director</w:t>
            </w:r>
          </w:p>
        </w:tc>
        <w:tc>
          <w:tcPr>
            <w:tcW w:w="2409" w:type="dxa"/>
            <w:noWrap/>
          </w:tcPr>
          <w:p w14:paraId="449764D0" w14:textId="2161F68C" w:rsidR="00BA55C3" w:rsidRPr="00AB5014" w:rsidRDefault="00BA55C3" w:rsidP="00BA55C3">
            <w:pPr>
              <w:cnfStyle w:val="000000000000" w:firstRow="0" w:lastRow="0" w:firstColumn="0" w:lastColumn="0" w:oddVBand="0" w:evenVBand="0" w:oddHBand="0" w:evenHBand="0" w:firstRowFirstColumn="0" w:firstRowLastColumn="0" w:lastRowFirstColumn="0" w:lastRowLastColumn="0"/>
              <w:rPr>
                <w:bCs/>
                <w:color w:val="auto"/>
              </w:rPr>
            </w:pPr>
            <w:r>
              <w:rPr>
                <w:bCs/>
                <w:color w:val="auto"/>
              </w:rPr>
              <w:t>New Mountain Capital</w:t>
            </w:r>
          </w:p>
        </w:tc>
      </w:tr>
      <w:tr w:rsidR="00BA55C3" w:rsidRPr="00222315" w14:paraId="2F006C3B" w14:textId="77777777" w:rsidTr="00ED2A2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2" w:type="dxa"/>
            <w:noWrap/>
          </w:tcPr>
          <w:p w14:paraId="14BB333B" w14:textId="3AA4340C" w:rsidR="00BA55C3" w:rsidRPr="00095AFB" w:rsidRDefault="00AA4575" w:rsidP="00BA55C3">
            <w:pPr>
              <w:rPr>
                <w:b w:val="0"/>
                <w:color w:val="auto"/>
              </w:rPr>
            </w:pPr>
            <w:proofErr w:type="spellStart"/>
            <w:r>
              <w:rPr>
                <w:b w:val="0"/>
                <w:color w:val="auto"/>
              </w:rPr>
              <w:t>Chlo</w:t>
            </w:r>
            <w:r>
              <w:rPr>
                <w:rFonts w:cs="Arial"/>
                <w:b w:val="0"/>
                <w:color w:val="auto"/>
              </w:rPr>
              <w:t>ë</w:t>
            </w:r>
            <w:proofErr w:type="spellEnd"/>
            <w:r>
              <w:rPr>
                <w:b w:val="0"/>
                <w:color w:val="auto"/>
              </w:rPr>
              <w:t xml:space="preserve"> Sanders</w:t>
            </w:r>
          </w:p>
        </w:tc>
        <w:tc>
          <w:tcPr>
            <w:tcW w:w="4394" w:type="dxa"/>
            <w:noWrap/>
          </w:tcPr>
          <w:p w14:paraId="6CA92371" w14:textId="75DBAC69" w:rsidR="00BA55C3" w:rsidRPr="00095AFB" w:rsidRDefault="00D06810" w:rsidP="00BA55C3">
            <w:pPr>
              <w:cnfStyle w:val="000000100000" w:firstRow="0" w:lastRow="0" w:firstColumn="0" w:lastColumn="0" w:oddVBand="0" w:evenVBand="0" w:oddHBand="1" w:evenHBand="0" w:firstRowFirstColumn="0" w:firstRowLastColumn="0" w:lastRowFirstColumn="0" w:lastRowLastColumn="0"/>
              <w:rPr>
                <w:bCs/>
                <w:color w:val="auto"/>
              </w:rPr>
            </w:pPr>
            <w:r>
              <w:rPr>
                <w:bCs/>
                <w:color w:val="auto"/>
              </w:rPr>
              <w:t>Director, ESG &amp; Legal</w:t>
            </w:r>
          </w:p>
        </w:tc>
        <w:tc>
          <w:tcPr>
            <w:tcW w:w="2409" w:type="dxa"/>
            <w:noWrap/>
          </w:tcPr>
          <w:p w14:paraId="2FC18B0E" w14:textId="498417AA" w:rsidR="00BA55C3" w:rsidRPr="00AB5014" w:rsidRDefault="00AA4575" w:rsidP="00BA55C3">
            <w:pPr>
              <w:cnfStyle w:val="000000100000" w:firstRow="0" w:lastRow="0" w:firstColumn="0" w:lastColumn="0" w:oddVBand="0" w:evenVBand="0" w:oddHBand="1" w:evenHBand="0" w:firstRowFirstColumn="0" w:firstRowLastColumn="0" w:lastRowFirstColumn="0" w:lastRowLastColumn="0"/>
              <w:rPr>
                <w:bCs/>
                <w:color w:val="auto"/>
              </w:rPr>
            </w:pPr>
            <w:r>
              <w:rPr>
                <w:bCs/>
                <w:color w:val="auto"/>
              </w:rPr>
              <w:t>CVC</w:t>
            </w:r>
          </w:p>
        </w:tc>
      </w:tr>
      <w:tr w:rsidR="00BA55C3" w:rsidRPr="00222315" w14:paraId="3B73C344" w14:textId="77777777" w:rsidTr="00ED2A22">
        <w:trPr>
          <w:trHeight w:val="315"/>
        </w:trPr>
        <w:tc>
          <w:tcPr>
            <w:cnfStyle w:val="001000000000" w:firstRow="0" w:lastRow="0" w:firstColumn="1" w:lastColumn="0" w:oddVBand="0" w:evenVBand="0" w:oddHBand="0" w:evenHBand="0" w:firstRowFirstColumn="0" w:firstRowLastColumn="0" w:lastRowFirstColumn="0" w:lastRowLastColumn="0"/>
            <w:tcW w:w="2552" w:type="dxa"/>
            <w:noWrap/>
          </w:tcPr>
          <w:p w14:paraId="2E84390C" w14:textId="0237DCF2" w:rsidR="00BA55C3" w:rsidRPr="00AB5014" w:rsidRDefault="005358AA" w:rsidP="00BA55C3">
            <w:pPr>
              <w:rPr>
                <w:b w:val="0"/>
                <w:color w:val="auto"/>
              </w:rPr>
            </w:pPr>
            <w:r>
              <w:rPr>
                <w:b w:val="0"/>
                <w:color w:val="auto"/>
              </w:rPr>
              <w:t>Michael Octoman</w:t>
            </w:r>
          </w:p>
        </w:tc>
        <w:tc>
          <w:tcPr>
            <w:tcW w:w="4394" w:type="dxa"/>
            <w:noWrap/>
          </w:tcPr>
          <w:p w14:paraId="218D6072" w14:textId="0AF55931" w:rsidR="00BA55C3" w:rsidRPr="00AB5014" w:rsidRDefault="00AD46AF" w:rsidP="00BA55C3">
            <w:pPr>
              <w:cnfStyle w:val="000000000000" w:firstRow="0" w:lastRow="0" w:firstColumn="0" w:lastColumn="0" w:oddVBand="0" w:evenVBand="0" w:oddHBand="0" w:evenHBand="0" w:firstRowFirstColumn="0" w:firstRowLastColumn="0" w:lastRowFirstColumn="0" w:lastRowLastColumn="0"/>
              <w:rPr>
                <w:bCs/>
                <w:color w:val="auto"/>
              </w:rPr>
            </w:pPr>
            <w:r>
              <w:rPr>
                <w:bCs/>
                <w:color w:val="auto"/>
              </w:rPr>
              <w:t>Senior Partner &amp; COO</w:t>
            </w:r>
          </w:p>
        </w:tc>
        <w:tc>
          <w:tcPr>
            <w:tcW w:w="2409" w:type="dxa"/>
            <w:noWrap/>
          </w:tcPr>
          <w:p w14:paraId="47B9BC25" w14:textId="199A3732" w:rsidR="00BA55C3" w:rsidRPr="00AB5014" w:rsidRDefault="00EF3AE7" w:rsidP="00BA55C3">
            <w:pPr>
              <w:cnfStyle w:val="000000000000" w:firstRow="0" w:lastRow="0" w:firstColumn="0" w:lastColumn="0" w:oddVBand="0" w:evenVBand="0" w:oddHBand="0" w:evenHBand="0" w:firstRowFirstColumn="0" w:firstRowLastColumn="0" w:lastRowFirstColumn="0" w:lastRowLastColumn="0"/>
              <w:rPr>
                <w:bCs/>
                <w:color w:val="auto"/>
              </w:rPr>
            </w:pPr>
            <w:r>
              <w:rPr>
                <w:bCs/>
                <w:color w:val="auto"/>
              </w:rPr>
              <w:t>Navis Capital</w:t>
            </w:r>
          </w:p>
        </w:tc>
      </w:tr>
      <w:tr w:rsidR="00BA55C3" w:rsidRPr="00222315" w14:paraId="671E579E" w14:textId="77777777" w:rsidTr="00ED2A2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2" w:type="dxa"/>
            <w:noWrap/>
          </w:tcPr>
          <w:p w14:paraId="79E5EB09" w14:textId="152C685E" w:rsidR="00BA55C3" w:rsidRPr="00AB5014" w:rsidRDefault="00BA55C3" w:rsidP="00BA55C3">
            <w:pPr>
              <w:rPr>
                <w:b w:val="0"/>
                <w:color w:val="auto"/>
              </w:rPr>
            </w:pPr>
            <w:r>
              <w:rPr>
                <w:b w:val="0"/>
                <w:color w:val="auto"/>
              </w:rPr>
              <w:t xml:space="preserve">Silva </w:t>
            </w:r>
            <w:proofErr w:type="spellStart"/>
            <w:r w:rsidRPr="000B4E3D">
              <w:rPr>
                <w:b w:val="0"/>
                <w:color w:val="auto"/>
              </w:rPr>
              <w:t>Deželan</w:t>
            </w:r>
            <w:proofErr w:type="spellEnd"/>
          </w:p>
        </w:tc>
        <w:tc>
          <w:tcPr>
            <w:tcW w:w="4394" w:type="dxa"/>
            <w:noWrap/>
          </w:tcPr>
          <w:p w14:paraId="0476AE49" w14:textId="12511849" w:rsidR="00BA55C3" w:rsidRPr="00AB5014" w:rsidRDefault="00BA55C3" w:rsidP="00BA55C3">
            <w:pPr>
              <w:cnfStyle w:val="000000100000" w:firstRow="0" w:lastRow="0" w:firstColumn="0" w:lastColumn="0" w:oddVBand="0" w:evenVBand="0" w:oddHBand="1" w:evenHBand="0" w:firstRowFirstColumn="0" w:firstRowLastColumn="0" w:lastRowFirstColumn="0" w:lastRowLastColumn="0"/>
              <w:rPr>
                <w:bCs/>
                <w:color w:val="auto"/>
              </w:rPr>
            </w:pPr>
            <w:r>
              <w:rPr>
                <w:bCs/>
                <w:color w:val="auto"/>
              </w:rPr>
              <w:t>Sustainability Director</w:t>
            </w:r>
          </w:p>
        </w:tc>
        <w:tc>
          <w:tcPr>
            <w:tcW w:w="2409" w:type="dxa"/>
            <w:noWrap/>
          </w:tcPr>
          <w:p w14:paraId="5808DD4A" w14:textId="01FCE990" w:rsidR="00BA55C3" w:rsidRPr="00AB5014" w:rsidRDefault="00BA55C3" w:rsidP="00BA55C3">
            <w:pPr>
              <w:cnfStyle w:val="000000100000" w:firstRow="0" w:lastRow="0" w:firstColumn="0" w:lastColumn="0" w:oddVBand="0" w:evenVBand="0" w:oddHBand="1" w:evenHBand="0" w:firstRowFirstColumn="0" w:firstRowLastColumn="0" w:lastRowFirstColumn="0" w:lastRowLastColumn="0"/>
              <w:rPr>
                <w:bCs/>
                <w:color w:val="auto"/>
              </w:rPr>
            </w:pPr>
            <w:proofErr w:type="spellStart"/>
            <w:r>
              <w:rPr>
                <w:bCs/>
                <w:color w:val="auto"/>
              </w:rPr>
              <w:t>Robeco</w:t>
            </w:r>
            <w:proofErr w:type="spellEnd"/>
          </w:p>
        </w:tc>
      </w:tr>
      <w:tr w:rsidR="00BA55C3" w:rsidRPr="00222315" w14:paraId="53ED1371" w14:textId="77777777" w:rsidTr="00ED2A22">
        <w:trPr>
          <w:trHeight w:val="315"/>
        </w:trPr>
        <w:tc>
          <w:tcPr>
            <w:cnfStyle w:val="001000000000" w:firstRow="0" w:lastRow="0" w:firstColumn="1" w:lastColumn="0" w:oddVBand="0" w:evenVBand="0" w:oddHBand="0" w:evenHBand="0" w:firstRowFirstColumn="0" w:firstRowLastColumn="0" w:lastRowFirstColumn="0" w:lastRowLastColumn="0"/>
            <w:tcW w:w="2552" w:type="dxa"/>
            <w:noWrap/>
          </w:tcPr>
          <w:p w14:paraId="4DD643D9" w14:textId="2FF5A94F" w:rsidR="00BA55C3" w:rsidRPr="00AD65E1" w:rsidRDefault="00BA55C3" w:rsidP="00BA55C3">
            <w:pPr>
              <w:rPr>
                <w:color w:val="auto"/>
              </w:rPr>
            </w:pPr>
            <w:r w:rsidRPr="00AD65E1">
              <w:rPr>
                <w:color w:val="auto"/>
              </w:rPr>
              <w:t>PRI Executive position</w:t>
            </w:r>
          </w:p>
          <w:p w14:paraId="20E42976" w14:textId="1137E109" w:rsidR="00BA55C3" w:rsidRPr="00AD65E1" w:rsidRDefault="001229B2" w:rsidP="00BA55C3">
            <w:pPr>
              <w:rPr>
                <w:b w:val="0"/>
                <w:i/>
                <w:color w:val="auto"/>
              </w:rPr>
            </w:pPr>
            <w:r>
              <w:rPr>
                <w:b w:val="0"/>
                <w:i/>
                <w:color w:val="auto"/>
              </w:rPr>
              <w:t>Peter Dunbar</w:t>
            </w:r>
          </w:p>
        </w:tc>
        <w:tc>
          <w:tcPr>
            <w:tcW w:w="4394" w:type="dxa"/>
            <w:noWrap/>
          </w:tcPr>
          <w:p w14:paraId="38D1ECF6" w14:textId="77777777" w:rsidR="00BA55C3" w:rsidRPr="00AD65E1" w:rsidRDefault="00BA55C3" w:rsidP="00BA55C3">
            <w:pPr>
              <w:cnfStyle w:val="000000000000" w:firstRow="0" w:lastRow="0" w:firstColumn="0" w:lastColumn="0" w:oddVBand="0" w:evenVBand="0" w:oddHBand="0" w:evenHBand="0" w:firstRowFirstColumn="0" w:firstRowLastColumn="0" w:lastRowFirstColumn="0" w:lastRowLastColumn="0"/>
              <w:rPr>
                <w:bCs/>
                <w:i/>
                <w:color w:val="auto"/>
              </w:rPr>
            </w:pPr>
          </w:p>
          <w:p w14:paraId="6C175CFF" w14:textId="33BFC117" w:rsidR="00BA55C3" w:rsidRPr="00AD65E1" w:rsidRDefault="00BA55C3" w:rsidP="00BA55C3">
            <w:pPr>
              <w:cnfStyle w:val="000000000000" w:firstRow="0" w:lastRow="0" w:firstColumn="0" w:lastColumn="0" w:oddVBand="0" w:evenVBand="0" w:oddHBand="0" w:evenHBand="0" w:firstRowFirstColumn="0" w:firstRowLastColumn="0" w:lastRowFirstColumn="0" w:lastRowLastColumn="0"/>
              <w:rPr>
                <w:bCs/>
                <w:i/>
                <w:color w:val="auto"/>
              </w:rPr>
            </w:pPr>
            <w:r w:rsidRPr="00AD65E1">
              <w:rPr>
                <w:bCs/>
                <w:i/>
                <w:color w:val="auto"/>
              </w:rPr>
              <w:t>I</w:t>
            </w:r>
            <w:r>
              <w:rPr>
                <w:bCs/>
                <w:i/>
                <w:color w:val="auto"/>
              </w:rPr>
              <w:t>nvestment Practices</w:t>
            </w:r>
            <w:r w:rsidRPr="00AD65E1">
              <w:rPr>
                <w:bCs/>
                <w:i/>
                <w:color w:val="auto"/>
              </w:rPr>
              <w:t xml:space="preserve"> </w:t>
            </w:r>
            <w:r>
              <w:rPr>
                <w:bCs/>
                <w:i/>
                <w:color w:val="auto"/>
              </w:rPr>
              <w:t xml:space="preserve">Senior </w:t>
            </w:r>
            <w:r w:rsidR="001229B2">
              <w:rPr>
                <w:bCs/>
                <w:i/>
                <w:color w:val="auto"/>
              </w:rPr>
              <w:t>Specialist</w:t>
            </w:r>
            <w:r w:rsidRPr="00AD65E1">
              <w:rPr>
                <w:bCs/>
                <w:i/>
                <w:color w:val="auto"/>
              </w:rPr>
              <w:t>, Private Equity</w:t>
            </w:r>
          </w:p>
        </w:tc>
        <w:tc>
          <w:tcPr>
            <w:tcW w:w="2409" w:type="dxa"/>
            <w:noWrap/>
          </w:tcPr>
          <w:p w14:paraId="323E55AD" w14:textId="77777777" w:rsidR="00BA55C3" w:rsidRPr="00AD65E1" w:rsidRDefault="00BA55C3" w:rsidP="00BA55C3">
            <w:pPr>
              <w:cnfStyle w:val="000000000000" w:firstRow="0" w:lastRow="0" w:firstColumn="0" w:lastColumn="0" w:oddVBand="0" w:evenVBand="0" w:oddHBand="0" w:evenHBand="0" w:firstRowFirstColumn="0" w:firstRowLastColumn="0" w:lastRowFirstColumn="0" w:lastRowLastColumn="0"/>
              <w:rPr>
                <w:bCs/>
                <w:i/>
                <w:color w:val="auto"/>
              </w:rPr>
            </w:pPr>
          </w:p>
          <w:p w14:paraId="57578744" w14:textId="1D0DB435" w:rsidR="00BA55C3" w:rsidRPr="00AD65E1" w:rsidRDefault="00BA55C3" w:rsidP="00BA55C3">
            <w:pPr>
              <w:cnfStyle w:val="000000000000" w:firstRow="0" w:lastRow="0" w:firstColumn="0" w:lastColumn="0" w:oddVBand="0" w:evenVBand="0" w:oddHBand="0" w:evenHBand="0" w:firstRowFirstColumn="0" w:firstRowLastColumn="0" w:lastRowFirstColumn="0" w:lastRowLastColumn="0"/>
              <w:rPr>
                <w:bCs/>
                <w:i/>
                <w:color w:val="auto"/>
              </w:rPr>
            </w:pPr>
            <w:r w:rsidRPr="00AD65E1">
              <w:rPr>
                <w:bCs/>
                <w:i/>
                <w:color w:val="auto"/>
              </w:rPr>
              <w:t>PRI</w:t>
            </w:r>
          </w:p>
        </w:tc>
      </w:tr>
      <w:tr w:rsidR="00BA55C3" w:rsidRPr="00222315" w14:paraId="0F130749" w14:textId="77777777" w:rsidTr="00ED2A2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2" w:type="dxa"/>
            <w:noWrap/>
          </w:tcPr>
          <w:p w14:paraId="6BEC7ED5" w14:textId="77777777" w:rsidR="00BA55C3" w:rsidRPr="00AD65E1" w:rsidRDefault="00BA55C3" w:rsidP="00BA55C3">
            <w:pPr>
              <w:rPr>
                <w:bCs w:val="0"/>
                <w:color w:val="auto"/>
              </w:rPr>
            </w:pPr>
            <w:r w:rsidRPr="00AD65E1">
              <w:rPr>
                <w:bCs w:val="0"/>
                <w:color w:val="auto"/>
              </w:rPr>
              <w:t>Observer position</w:t>
            </w:r>
          </w:p>
          <w:p w14:paraId="6ACA9E06" w14:textId="77777777" w:rsidR="00BA55C3" w:rsidRPr="00222315" w:rsidRDefault="00BA55C3" w:rsidP="00BA55C3">
            <w:pPr>
              <w:rPr>
                <w:b w:val="0"/>
                <w:bCs w:val="0"/>
                <w:i/>
                <w:color w:val="auto"/>
              </w:rPr>
            </w:pPr>
            <w:r w:rsidRPr="00222315">
              <w:rPr>
                <w:b w:val="0"/>
                <w:bCs w:val="0"/>
                <w:i/>
                <w:color w:val="auto"/>
              </w:rPr>
              <w:t>Shunsuke Tanahashi</w:t>
            </w:r>
          </w:p>
        </w:tc>
        <w:tc>
          <w:tcPr>
            <w:tcW w:w="4394" w:type="dxa"/>
            <w:noWrap/>
          </w:tcPr>
          <w:p w14:paraId="7A1D34B4" w14:textId="77777777" w:rsidR="00BA55C3" w:rsidRDefault="00BA55C3" w:rsidP="00BA55C3">
            <w:pPr>
              <w:cnfStyle w:val="000000100000" w:firstRow="0" w:lastRow="0" w:firstColumn="0" w:lastColumn="0" w:oddVBand="0" w:evenVBand="0" w:oddHBand="1" w:evenHBand="0" w:firstRowFirstColumn="0" w:firstRowLastColumn="0" w:lastRowFirstColumn="0" w:lastRowLastColumn="0"/>
              <w:rPr>
                <w:bCs/>
                <w:i/>
                <w:color w:val="auto"/>
              </w:rPr>
            </w:pPr>
          </w:p>
          <w:p w14:paraId="20700A51" w14:textId="74BDA42E" w:rsidR="00BA55C3" w:rsidRPr="00222315" w:rsidRDefault="00BA55C3" w:rsidP="00BA55C3">
            <w:pPr>
              <w:cnfStyle w:val="000000100000" w:firstRow="0" w:lastRow="0" w:firstColumn="0" w:lastColumn="0" w:oddVBand="0" w:evenVBand="0" w:oddHBand="1" w:evenHBand="0" w:firstRowFirstColumn="0" w:firstRowLastColumn="0" w:lastRowFirstColumn="0" w:lastRowLastColumn="0"/>
              <w:rPr>
                <w:bCs/>
                <w:i/>
                <w:color w:val="auto"/>
              </w:rPr>
            </w:pPr>
            <w:r w:rsidRPr="00222315">
              <w:rPr>
                <w:bCs/>
                <w:i/>
                <w:color w:val="auto"/>
              </w:rPr>
              <w:t>Chair</w:t>
            </w:r>
            <w:r>
              <w:rPr>
                <w:bCs/>
                <w:i/>
                <w:color w:val="auto"/>
              </w:rPr>
              <w:t xml:space="preserve"> of the PRI Japan PE Working Group</w:t>
            </w:r>
          </w:p>
        </w:tc>
        <w:tc>
          <w:tcPr>
            <w:tcW w:w="2409" w:type="dxa"/>
            <w:noWrap/>
          </w:tcPr>
          <w:p w14:paraId="6A875577" w14:textId="574298DD" w:rsidR="00BA55C3" w:rsidRDefault="00BA55C3" w:rsidP="00BA55C3">
            <w:pPr>
              <w:cnfStyle w:val="000000100000" w:firstRow="0" w:lastRow="0" w:firstColumn="0" w:lastColumn="0" w:oddVBand="0" w:evenVBand="0" w:oddHBand="1" w:evenHBand="0" w:firstRowFirstColumn="0" w:firstRowLastColumn="0" w:lastRowFirstColumn="0" w:lastRowLastColumn="0"/>
              <w:rPr>
                <w:bCs/>
                <w:i/>
                <w:color w:val="auto"/>
              </w:rPr>
            </w:pPr>
          </w:p>
          <w:p w14:paraId="66E234DE" w14:textId="5F254182" w:rsidR="00BA55C3" w:rsidRPr="00222315" w:rsidRDefault="00BA55C3" w:rsidP="00BA55C3">
            <w:pPr>
              <w:cnfStyle w:val="000000100000" w:firstRow="0" w:lastRow="0" w:firstColumn="0" w:lastColumn="0" w:oddVBand="0" w:evenVBand="0" w:oddHBand="1" w:evenHBand="0" w:firstRowFirstColumn="0" w:firstRowLastColumn="0" w:lastRowFirstColumn="0" w:lastRowLastColumn="0"/>
              <w:rPr>
                <w:bCs/>
                <w:i/>
                <w:color w:val="auto"/>
              </w:rPr>
            </w:pPr>
            <w:r>
              <w:rPr>
                <w:bCs/>
                <w:i/>
                <w:color w:val="auto"/>
              </w:rPr>
              <w:t>Partners Group</w:t>
            </w:r>
          </w:p>
        </w:tc>
      </w:tr>
    </w:tbl>
    <w:p w14:paraId="3798FD05" w14:textId="77777777" w:rsidR="00222315" w:rsidRPr="00222315" w:rsidRDefault="00222315" w:rsidP="00222315">
      <w:pPr>
        <w:pStyle w:val="Heading3"/>
      </w:pPr>
      <w:r>
        <w:t>TARGET COMPOSITION</w:t>
      </w:r>
    </w:p>
    <w:p w14:paraId="032F795E" w14:textId="0F4E2AD1" w:rsidR="00222315" w:rsidRDefault="00222315" w:rsidP="00222315">
      <w:pPr>
        <w:pStyle w:val="ListBullet"/>
      </w:pPr>
      <w:r>
        <w:t>10-12 member organisations</w:t>
      </w:r>
      <w:r w:rsidR="00EB0F88">
        <w:t xml:space="preserve"> (PRI signatories only);</w:t>
      </w:r>
    </w:p>
    <w:p w14:paraId="4F4FC8BD" w14:textId="06CA7932" w:rsidR="00222315" w:rsidRDefault="00222315" w:rsidP="00222315">
      <w:pPr>
        <w:pStyle w:val="ListBullet"/>
      </w:pPr>
      <w:r>
        <w:lastRenderedPageBreak/>
        <w:t>50% indirect investors (of which the majority should be asset o</w:t>
      </w:r>
      <w:r w:rsidR="00EB0F88">
        <w:t>wners) and 50% direct investors;</w:t>
      </w:r>
    </w:p>
    <w:p w14:paraId="6AA8B0D8" w14:textId="4BA23491" w:rsidR="00EB0F88" w:rsidRDefault="008E11CA" w:rsidP="00242D18">
      <w:pPr>
        <w:pStyle w:val="ListBullet"/>
      </w:pPr>
      <w:r>
        <w:t>S</w:t>
      </w:r>
      <w:r w:rsidR="00F0250D">
        <w:t>hould reflect a g</w:t>
      </w:r>
      <w:r w:rsidR="00222315">
        <w:t>eographic spread, reflecting target continents / countri</w:t>
      </w:r>
      <w:r w:rsidR="00EB0F88">
        <w:t>es based on market segmentation;</w:t>
      </w:r>
    </w:p>
    <w:p w14:paraId="5763DEB8" w14:textId="14DD067E" w:rsidR="00B57F3D" w:rsidRDefault="00B42CCF" w:rsidP="00F0113C">
      <w:pPr>
        <w:pStyle w:val="ListBullet"/>
      </w:pPr>
      <w:r>
        <w:t>PEAC</w:t>
      </w:r>
      <w:r w:rsidR="008A6A7C">
        <w:t xml:space="preserve"> composition should encompass a broad </w:t>
      </w:r>
      <w:r w:rsidR="008E11CA">
        <w:t xml:space="preserve">and diverse </w:t>
      </w:r>
      <w:r w:rsidR="008A6A7C">
        <w:t xml:space="preserve">range of skills, backgrounds and </w:t>
      </w:r>
      <w:r w:rsidR="00EB0F88">
        <w:t>expertise;</w:t>
      </w:r>
    </w:p>
    <w:p w14:paraId="2D64257E" w14:textId="32BD09E8" w:rsidR="00222315" w:rsidRDefault="00F0250D" w:rsidP="00222315">
      <w:pPr>
        <w:pStyle w:val="ListBullet"/>
      </w:pPr>
      <w:r>
        <w:t>Representatives should be relatively s</w:t>
      </w:r>
      <w:r w:rsidR="00EB0F88">
        <w:t>enior within their organisation;</w:t>
      </w:r>
    </w:p>
    <w:p w14:paraId="47969ADE" w14:textId="2D6D56CA" w:rsidR="00EB0F88" w:rsidRDefault="00EB0F88" w:rsidP="00EB0F88">
      <w:pPr>
        <w:pStyle w:val="ListBullet"/>
      </w:pPr>
      <w:r>
        <w:t>Member organisations will also be selected on the strength and engagement of their representative. PEAC members ideally will have demonstrated proactive interest/a history of activity in the PE work stream, leadership in the responsible investment world (including connections with PE associations and other relevant industry associations).</w:t>
      </w:r>
    </w:p>
    <w:p w14:paraId="75FF14C8" w14:textId="77777777" w:rsidR="00222315" w:rsidRDefault="00222315" w:rsidP="00222315">
      <w:pPr>
        <w:widowControl w:val="0"/>
        <w:autoSpaceDE w:val="0"/>
        <w:autoSpaceDN w:val="0"/>
        <w:adjustRightInd w:val="0"/>
        <w:contextualSpacing/>
        <w:jc w:val="both"/>
      </w:pPr>
    </w:p>
    <w:p w14:paraId="3DC9F3EA" w14:textId="77777777" w:rsidR="00222315" w:rsidRPr="00481153" w:rsidRDefault="00222315" w:rsidP="00222315">
      <w:pPr>
        <w:pStyle w:val="Heading3"/>
      </w:pPr>
      <w:r w:rsidRPr="00481153">
        <w:t>Appointment of members</w:t>
      </w:r>
    </w:p>
    <w:p w14:paraId="7EEF5E88" w14:textId="77777777" w:rsidR="00E47371" w:rsidRDefault="00E47371" w:rsidP="00E47371">
      <w:pPr>
        <w:jc w:val="both"/>
      </w:pPr>
      <w:r>
        <w:t xml:space="preserve">The Executive will </w:t>
      </w:r>
      <w:r w:rsidRPr="00845739">
        <w:t xml:space="preserve">publicise membership opportunities </w:t>
      </w:r>
      <w:r>
        <w:t xml:space="preserve">as they arise, including the criteria for appointment of members and timelines </w:t>
      </w:r>
      <w:r w:rsidRPr="00845739">
        <w:t>– via relevant newsletters</w:t>
      </w:r>
      <w:r>
        <w:t xml:space="preserve"> and the PRI website for a minimum of four weeks. The Executive will review applications in partnership with the PEAC Chair and will consult the existing PEAC for their advice on member selection. Final decisions on PEAC composition are at the discretion of the Executive.</w:t>
      </w:r>
    </w:p>
    <w:p w14:paraId="400A721B" w14:textId="77777777" w:rsidR="00E47371" w:rsidRDefault="00E47371" w:rsidP="00E47371">
      <w:pPr>
        <w:jc w:val="both"/>
      </w:pPr>
    </w:p>
    <w:p w14:paraId="6BC84275" w14:textId="77777777" w:rsidR="00E47371" w:rsidRDefault="00E47371" w:rsidP="00E47371">
      <w:pPr>
        <w:jc w:val="both"/>
      </w:pPr>
      <w:r>
        <w:t>The balanced composition of the PEAC will be preserved to the greatest extent possible when replacing outgoing members.</w:t>
      </w:r>
    </w:p>
    <w:p w14:paraId="6FCB02EE" w14:textId="77777777" w:rsidR="00AF48D6" w:rsidRDefault="00AF48D6" w:rsidP="00E47371">
      <w:pPr>
        <w:jc w:val="both"/>
      </w:pPr>
    </w:p>
    <w:p w14:paraId="3359D79B" w14:textId="35EA5807" w:rsidR="009F03F0" w:rsidRDefault="009F03F0" w:rsidP="00222315">
      <w:pPr>
        <w:jc w:val="both"/>
      </w:pPr>
      <w:r>
        <w:t>The Executive has</w:t>
      </w:r>
      <w:r w:rsidR="009E69D4">
        <w:t xml:space="preserve"> the</w:t>
      </w:r>
      <w:r>
        <w:t xml:space="preserve"> discretion</w:t>
      </w:r>
      <w:r w:rsidR="009E69D4">
        <w:t xml:space="preserve"> to</w:t>
      </w:r>
      <w:r>
        <w:t xml:space="preserve"> accept two representatives </w:t>
      </w:r>
      <w:r w:rsidR="009E69D4">
        <w:t>from a</w:t>
      </w:r>
      <w:r w:rsidR="00EB0F88">
        <w:t>n</w:t>
      </w:r>
      <w:r w:rsidR="009E69D4">
        <w:t xml:space="preserve"> organisation to sit on</w:t>
      </w:r>
      <w:r>
        <w:t xml:space="preserve"> the </w:t>
      </w:r>
      <w:r w:rsidR="00B42CCF">
        <w:t>PEAC</w:t>
      </w:r>
      <w:r w:rsidR="009E69D4">
        <w:t>; in which case(s), dual representation should offer complementary strengths</w:t>
      </w:r>
      <w:r w:rsidR="00B42CCF">
        <w:t xml:space="preserve"> </w:t>
      </w:r>
      <w:r w:rsidR="009E69D4">
        <w:t>f</w:t>
      </w:r>
      <w:r w:rsidR="00B42CCF">
        <w:t>rom</w:t>
      </w:r>
      <w:r w:rsidR="009E69D4">
        <w:t xml:space="preserve"> the two individuals rather than </w:t>
      </w:r>
      <w:r w:rsidR="00B42CCF">
        <w:t xml:space="preserve">a </w:t>
      </w:r>
      <w:r w:rsidR="009E69D4">
        <w:t>duplication</w:t>
      </w:r>
      <w:r>
        <w:t>.</w:t>
      </w:r>
      <w:r w:rsidR="009E69D4">
        <w:t xml:space="preserve"> </w:t>
      </w:r>
      <w:r w:rsidR="00B42CCF">
        <w:t>PEAC</w:t>
      </w:r>
      <w:r w:rsidR="009E69D4">
        <w:t xml:space="preserve"> members are not permitted to appoint a delegate for their position on the Committee, given that they commit to attending </w:t>
      </w:r>
      <w:r w:rsidR="00B42CCF">
        <w:t>PEAC</w:t>
      </w:r>
      <w:r w:rsidR="009E69D4">
        <w:t xml:space="preserve"> meetings upon accepting their appointment.</w:t>
      </w:r>
    </w:p>
    <w:p w14:paraId="18B115F9" w14:textId="77777777" w:rsidR="009F03F0" w:rsidRDefault="009F03F0" w:rsidP="00222315">
      <w:pPr>
        <w:jc w:val="both"/>
      </w:pPr>
    </w:p>
    <w:p w14:paraId="5CA4C1EE" w14:textId="77777777" w:rsidR="00F0250D" w:rsidRDefault="00F0250D" w:rsidP="00222315">
      <w:pPr>
        <w:jc w:val="both"/>
      </w:pPr>
      <w:r>
        <w:t xml:space="preserve">If a member steps down from the </w:t>
      </w:r>
      <w:r w:rsidR="00B42CCF">
        <w:t>PEAC</w:t>
      </w:r>
      <w:r>
        <w:t xml:space="preserve"> during their tenure, they are welcome to appoint an appropriate replacement from their organisation (according to the criteria </w:t>
      </w:r>
      <w:r w:rsidR="009E69D4">
        <w:t xml:space="preserve">described in the </w:t>
      </w:r>
      <w:r w:rsidR="00B0398B">
        <w:t>first</w:t>
      </w:r>
      <w:r w:rsidR="009E69D4">
        <w:t xml:space="preserve"> paragraph</w:t>
      </w:r>
      <w:r w:rsidR="00B0398B">
        <w:t xml:space="preserve"> of this section</w:t>
      </w:r>
      <w:r>
        <w:t>). If the new member does not demonstrate the</w:t>
      </w:r>
      <w:r w:rsidR="009E69D4">
        <w:t xml:space="preserve"> required level of commitment and</w:t>
      </w:r>
      <w:r>
        <w:t xml:space="preserve"> engagement, then the Executive may cancel that signatory’s participation </w:t>
      </w:r>
      <w:r w:rsidR="009E69D4">
        <w:t xml:space="preserve">and </w:t>
      </w:r>
      <w:r>
        <w:t xml:space="preserve">invite other interested signatories to participate. If a member steps down from the </w:t>
      </w:r>
      <w:r w:rsidR="00B42CCF">
        <w:t>PEAC</w:t>
      </w:r>
      <w:r>
        <w:t xml:space="preserve"> towards the end of their organisation’s tenure, then it is at the Executive’s discretion whether to accept a replacement from their organisation for the rest of their tenure or whether to open the position up to other interested signatories.</w:t>
      </w:r>
    </w:p>
    <w:p w14:paraId="37B0A473" w14:textId="77777777" w:rsidR="00F0250D" w:rsidRDefault="00F0250D" w:rsidP="00222315">
      <w:pPr>
        <w:jc w:val="both"/>
      </w:pPr>
    </w:p>
    <w:p w14:paraId="3272CF5D" w14:textId="77777777" w:rsidR="00222315" w:rsidRDefault="00222315" w:rsidP="00222315">
      <w:pPr>
        <w:pStyle w:val="Heading3"/>
      </w:pPr>
      <w:r>
        <w:t>TENURE</w:t>
      </w:r>
    </w:p>
    <w:p w14:paraId="7989DF40" w14:textId="0B399C09" w:rsidR="00222315" w:rsidRDefault="00E47371" w:rsidP="00222315">
      <w:pPr>
        <w:pStyle w:val="ListBullet"/>
      </w:pPr>
      <w:r>
        <w:t>M</w:t>
      </w:r>
      <w:r w:rsidR="00B57F3D">
        <w:t>embers</w:t>
      </w:r>
      <w:r w:rsidR="00382588">
        <w:t xml:space="preserve"> are appointed for </w:t>
      </w:r>
      <w:proofErr w:type="gramStart"/>
      <w:r w:rsidR="00382588">
        <w:t>three year</w:t>
      </w:r>
      <w:proofErr w:type="gramEnd"/>
      <w:r w:rsidR="00382588">
        <w:t xml:space="preserve"> terms</w:t>
      </w:r>
      <w:r w:rsidR="00222315">
        <w:t xml:space="preserve"> (calendar year)</w:t>
      </w:r>
      <w:r w:rsidR="00EB0F88">
        <w:t>;</w:t>
      </w:r>
    </w:p>
    <w:p w14:paraId="39468A7E" w14:textId="3369C28D" w:rsidR="00222315" w:rsidRDefault="00222315" w:rsidP="00222315">
      <w:pPr>
        <w:pStyle w:val="ListBullet"/>
      </w:pPr>
      <w:r>
        <w:t>Members have the option at th</w:t>
      </w:r>
      <w:r w:rsidR="00EB0F88">
        <w:t>e end of each year to step down;</w:t>
      </w:r>
    </w:p>
    <w:p w14:paraId="623BE182" w14:textId="4D6E66EF" w:rsidR="00382588" w:rsidRDefault="00E47371" w:rsidP="00222315">
      <w:pPr>
        <w:pStyle w:val="ListBullet"/>
      </w:pPr>
      <w:r>
        <w:t>M</w:t>
      </w:r>
      <w:r w:rsidR="00B57F3D">
        <w:t>embers</w:t>
      </w:r>
      <w:r w:rsidR="00382588">
        <w:t xml:space="preserve"> cannot serve two consecutive terms. After two calendar years, th</w:t>
      </w:r>
      <w:r w:rsidR="00EB0F88">
        <w:t>ey will be eligible to re-apply;</w:t>
      </w:r>
    </w:p>
    <w:p w14:paraId="2E471AFC" w14:textId="685E31B2" w:rsidR="00222315" w:rsidRDefault="00222315" w:rsidP="00222315">
      <w:pPr>
        <w:pStyle w:val="ListBullet"/>
      </w:pPr>
      <w:r>
        <w:t xml:space="preserve">The Executive will review the </w:t>
      </w:r>
      <w:r w:rsidR="00B42CCF">
        <w:t xml:space="preserve">PEAC </w:t>
      </w:r>
      <w:r>
        <w:t xml:space="preserve">composition on a yearly basis, keeping in mind that there should be some degree </w:t>
      </w:r>
      <w:r w:rsidR="00EB0F88">
        <w:t>of continuity from year to year;</w:t>
      </w:r>
    </w:p>
    <w:p w14:paraId="78E2F874" w14:textId="77777777" w:rsidR="00222315" w:rsidRDefault="00222315" w:rsidP="00222315">
      <w:pPr>
        <w:pStyle w:val="ListBullet"/>
      </w:pPr>
      <w:r>
        <w:t>The term of the Chair is typically between one and three years</w:t>
      </w:r>
      <w:r w:rsidR="00382588">
        <w:t>. The maximum tenure for</w:t>
      </w:r>
      <w:r w:rsidR="00AC3297">
        <w:t xml:space="preserve"> a signatory organisation </w:t>
      </w:r>
      <w:r w:rsidR="00382588">
        <w:t xml:space="preserve">to sit </w:t>
      </w:r>
      <w:r>
        <w:t xml:space="preserve">on the </w:t>
      </w:r>
      <w:r w:rsidR="00B42CCF">
        <w:t>PEAC</w:t>
      </w:r>
      <w:r w:rsidR="00382588">
        <w:t>, including a term as Chair,</w:t>
      </w:r>
      <w:r>
        <w:t xml:space="preserve"> is five years. The Chair </w:t>
      </w:r>
      <w:r>
        <w:lastRenderedPageBreak/>
        <w:t xml:space="preserve">is appointed at the start of the calendar year. All members are entitled to submit their names for consideration. However, the Executive retains the right to choose the Chair at its discretion based on the skills and experience required for the role. </w:t>
      </w:r>
    </w:p>
    <w:p w14:paraId="36628236" w14:textId="77777777" w:rsidR="00222315" w:rsidRDefault="00222315" w:rsidP="00222315">
      <w:pPr>
        <w:pStyle w:val="ListBullet"/>
        <w:numPr>
          <w:ilvl w:val="0"/>
          <w:numId w:val="0"/>
        </w:numPr>
        <w:ind w:left="357" w:hanging="357"/>
      </w:pPr>
    </w:p>
    <w:p w14:paraId="7803027C" w14:textId="776A4A74" w:rsidR="00222315" w:rsidRDefault="00222315" w:rsidP="00222315">
      <w:pPr>
        <w:pStyle w:val="Heading3"/>
      </w:pPr>
      <w:r>
        <w:t>note on impl</w:t>
      </w:r>
      <w:r w:rsidR="00EB5B2E">
        <w:t>E</w:t>
      </w:r>
      <w:r>
        <w:t>mentation groups</w:t>
      </w:r>
    </w:p>
    <w:p w14:paraId="268344C3" w14:textId="09334FE6" w:rsidR="00222315" w:rsidRDefault="00222315" w:rsidP="00222315">
      <w:r>
        <w:t>The PRI regional Networks are welcome to establish groups that support the implementation of</w:t>
      </w:r>
      <w:r w:rsidR="00324205">
        <w:t xml:space="preserve"> PE</w:t>
      </w:r>
      <w:r w:rsidR="00EC1443">
        <w:t xml:space="preserve"> work stream</w:t>
      </w:r>
      <w:r>
        <w:t xml:space="preserve"> activities and </w:t>
      </w:r>
      <w:proofErr w:type="gramStart"/>
      <w:r>
        <w:t>outputs</w:t>
      </w:r>
      <w:proofErr w:type="gramEnd"/>
      <w:r>
        <w:t xml:space="preserve"> but all formal activities and outputs must be aligned with the central work stream strategy and coordinated through the </w:t>
      </w:r>
      <w:r w:rsidR="00B42CCF">
        <w:t>PEAC</w:t>
      </w:r>
      <w:r w:rsidR="00EC1443">
        <w:t>,</w:t>
      </w:r>
      <w:r w:rsidR="00F0250D">
        <w:t xml:space="preserve"> and subsequently</w:t>
      </w:r>
      <w:r w:rsidR="009F03F0">
        <w:t xml:space="preserve"> reported to the </w:t>
      </w:r>
      <w:r w:rsidR="00B42CCF">
        <w:t>PEAC</w:t>
      </w:r>
      <w:r>
        <w:t>.</w:t>
      </w:r>
      <w:r w:rsidR="00324205">
        <w:t xml:space="preserve"> Implementation groups may be offered an observer position on the PEAC, subject to the </w:t>
      </w:r>
      <w:r w:rsidR="00EC1443">
        <w:t>approval</w:t>
      </w:r>
      <w:r w:rsidR="00324205">
        <w:t xml:space="preserve"> of </w:t>
      </w:r>
      <w:r w:rsidR="00EC1443">
        <w:t xml:space="preserve">both </w:t>
      </w:r>
      <w:r w:rsidR="00324205">
        <w:t>the Executive and the PEAC.</w:t>
      </w:r>
    </w:p>
    <w:p w14:paraId="14F1AE1B" w14:textId="77777777" w:rsidR="00324205" w:rsidRDefault="00324205" w:rsidP="00324205">
      <w:pPr>
        <w:pStyle w:val="Heading3"/>
      </w:pPr>
    </w:p>
    <w:p w14:paraId="16B0FD4E" w14:textId="77777777" w:rsidR="00324205" w:rsidRDefault="00324205" w:rsidP="00382588">
      <w:pPr>
        <w:pStyle w:val="Heading4"/>
      </w:pPr>
      <w:r>
        <w:t>Observer position for the PRI Japan Private Equity Working Group</w:t>
      </w:r>
    </w:p>
    <w:p w14:paraId="1EF2555B" w14:textId="77777777" w:rsidR="00324205" w:rsidRDefault="00324205" w:rsidP="00324205">
      <w:r>
        <w:t>The PRI Japan Private Equity Working Group was established in 2013 to (</w:t>
      </w:r>
      <w:proofErr w:type="spellStart"/>
      <w:r>
        <w:t>i</w:t>
      </w:r>
      <w:proofErr w:type="spellEnd"/>
      <w:r>
        <w:t>) raise awareness of the PRI in the Japanese private equity community; (ii) promote practical understanding of ESG integration in private equity. The group meets quarterly and is open to both signatories and non-signatories.</w:t>
      </w:r>
    </w:p>
    <w:p w14:paraId="51C14A7E" w14:textId="77777777" w:rsidR="00324205" w:rsidRDefault="00324205" w:rsidP="00324205"/>
    <w:p w14:paraId="7F5393B8" w14:textId="77777777" w:rsidR="00324205" w:rsidRDefault="00324205" w:rsidP="00324205">
      <w:r>
        <w:t>An observer position has been created on the PRI PEAC for the Chair of the PRI Japan Private Equity Working Group from September 2015. The PRI Japan Private Equity Working Group Chair is invited to attend all PEAC meetings in order to maintain a communication flow between the two groups.</w:t>
      </w:r>
    </w:p>
    <w:p w14:paraId="4456F2C7" w14:textId="77777777" w:rsidR="00222315" w:rsidRDefault="00222315" w:rsidP="00222315">
      <w:pPr>
        <w:pStyle w:val="Heading2"/>
        <w:numPr>
          <w:ilvl w:val="0"/>
          <w:numId w:val="22"/>
        </w:numPr>
      </w:pPr>
      <w:r>
        <w:t>responsibilities</w:t>
      </w:r>
    </w:p>
    <w:p w14:paraId="0C1150B6" w14:textId="77777777" w:rsidR="00AD65E1" w:rsidRDefault="00AD65E1" w:rsidP="00222315">
      <w:pPr>
        <w:pStyle w:val="Heading3"/>
      </w:pPr>
    </w:p>
    <w:p w14:paraId="37055CA5" w14:textId="77777777" w:rsidR="00222315" w:rsidRDefault="00222315" w:rsidP="00222315">
      <w:pPr>
        <w:pStyle w:val="Heading3"/>
      </w:pPr>
      <w:r>
        <w:t>role of the executive</w:t>
      </w:r>
    </w:p>
    <w:p w14:paraId="5F7DB168" w14:textId="5EB7C14F" w:rsidR="00AF48D6" w:rsidRDefault="00AF48D6" w:rsidP="00AF48D6">
      <w:pPr>
        <w:pStyle w:val="ListBullet"/>
        <w:numPr>
          <w:ilvl w:val="0"/>
          <w:numId w:val="0"/>
        </w:numPr>
      </w:pPr>
      <w:r>
        <w:t xml:space="preserve">The role of the Executive is implemented through the PRI representative that sits on the PEAC. In this case, the PRI representative is the PE work stream manager The PE work stream manager sits in the PRI </w:t>
      </w:r>
      <w:r w:rsidR="007C0E59">
        <w:t>Investment Practices</w:t>
      </w:r>
      <w:r>
        <w:t xml:space="preserve"> team</w:t>
      </w:r>
      <w:r w:rsidR="00AA1016">
        <w:t>, within the Private Markets group</w:t>
      </w:r>
      <w:r>
        <w:t xml:space="preserve">, which </w:t>
      </w:r>
      <w:proofErr w:type="gramStart"/>
      <w:r>
        <w:t>is dedicated to providing</w:t>
      </w:r>
      <w:proofErr w:type="gramEnd"/>
      <w:r>
        <w:t xml:space="preserve"> support tools to help investors implement the Principles across multi asset classes. Annual PE work stream objectives are translated into KPIs which the PE work stream manager is appraised against through an annual performance review. The PRI Executive is committed to ensuring the PE work stream has the appropriate resourcing and capacity. The PRI Executive provides senior oversight of the PE work stream; work stream activities are monitored by the </w:t>
      </w:r>
      <w:r w:rsidR="003166AD">
        <w:t>Head of Private Markets</w:t>
      </w:r>
      <w:r>
        <w:t xml:space="preserve"> and reported directly to PRI senior management.</w:t>
      </w:r>
    </w:p>
    <w:p w14:paraId="1603DDB1" w14:textId="77777777" w:rsidR="00AF48D6" w:rsidRDefault="00AF48D6" w:rsidP="00AF48D6">
      <w:pPr>
        <w:pStyle w:val="ListBullet"/>
        <w:numPr>
          <w:ilvl w:val="0"/>
          <w:numId w:val="0"/>
        </w:numPr>
      </w:pPr>
    </w:p>
    <w:p w14:paraId="63BFEDF2" w14:textId="60CB2608" w:rsidR="00222315" w:rsidRDefault="00222315" w:rsidP="00222315">
      <w:r>
        <w:t xml:space="preserve">The Executive manages the productivity of the </w:t>
      </w:r>
      <w:r w:rsidR="003C5837">
        <w:t xml:space="preserve">PEAC </w:t>
      </w:r>
      <w:r>
        <w:t>and will assess regularly the groups’ aims, work plan and composition.</w:t>
      </w:r>
    </w:p>
    <w:p w14:paraId="377D6AA0" w14:textId="77777777" w:rsidR="007C0E59" w:rsidRDefault="007C0E59" w:rsidP="00222315"/>
    <w:p w14:paraId="202C96EE" w14:textId="77777777" w:rsidR="00222315" w:rsidRDefault="00222315" w:rsidP="00222315">
      <w:r>
        <w:t>The Executive commits to:</w:t>
      </w:r>
    </w:p>
    <w:p w14:paraId="69A6EA3F" w14:textId="77777777" w:rsidR="00222315" w:rsidRDefault="00222315" w:rsidP="00222315"/>
    <w:p w14:paraId="43755F29" w14:textId="6C7EEC20" w:rsidR="002C4EA5" w:rsidRDefault="00E47371" w:rsidP="002C4EA5">
      <w:pPr>
        <w:pStyle w:val="ListBullet"/>
      </w:pPr>
      <w:r>
        <w:t>C</w:t>
      </w:r>
      <w:r w:rsidR="002C4EA5">
        <w:t>onvening</w:t>
      </w:r>
      <w:r w:rsidR="0090100B">
        <w:t xml:space="preserve"> </w:t>
      </w:r>
      <w:r w:rsidR="00B31EF0">
        <w:t xml:space="preserve">and administering </w:t>
      </w:r>
      <w:r w:rsidR="0090100B">
        <w:t>PEAC meetings and facilitating PEAC activities;</w:t>
      </w:r>
      <w:r w:rsidR="00B31EF0">
        <w:t xml:space="preserve"> keeping PEAC members updates on PE work stream activities in between meetings;</w:t>
      </w:r>
    </w:p>
    <w:p w14:paraId="5A506231" w14:textId="40AC7C4E" w:rsidR="00B31EF0" w:rsidRDefault="00B31EF0" w:rsidP="002C4EA5">
      <w:pPr>
        <w:pStyle w:val="ListBullet"/>
      </w:pPr>
      <w:r>
        <w:t xml:space="preserve">Developing the PE work stream action plan for </w:t>
      </w:r>
      <w:r w:rsidR="00CA7EDB">
        <w:t xml:space="preserve">consensus at </w:t>
      </w:r>
      <w:r>
        <w:t>the first PEAC meeting of each year;</w:t>
      </w:r>
    </w:p>
    <w:p w14:paraId="08D06D6F" w14:textId="75FF77F3" w:rsidR="00222315" w:rsidRDefault="00222315" w:rsidP="00222315">
      <w:pPr>
        <w:pStyle w:val="ListBullet"/>
      </w:pPr>
      <w:r>
        <w:lastRenderedPageBreak/>
        <w:t xml:space="preserve">Providing expertise </w:t>
      </w:r>
      <w:r w:rsidR="002C3F9A">
        <w:t xml:space="preserve">required for PE work stream activities </w:t>
      </w:r>
      <w:r>
        <w:t>from either internal or external sources</w:t>
      </w:r>
      <w:r w:rsidR="00E47371">
        <w:t>;</w:t>
      </w:r>
    </w:p>
    <w:p w14:paraId="6EB37795" w14:textId="772A5143" w:rsidR="002C3F9A" w:rsidRDefault="002C3F9A" w:rsidP="00222315">
      <w:pPr>
        <w:pStyle w:val="ListBullet"/>
      </w:pPr>
      <w:r>
        <w:t>Managing and delivering PE work stream outputs; setting out the guidelines for the operations of a project, including the establishment of a dedicated working group if required;</w:t>
      </w:r>
    </w:p>
    <w:p w14:paraId="6C0C1D1C" w14:textId="77777777" w:rsidR="00222315" w:rsidRDefault="00222315" w:rsidP="00222315">
      <w:pPr>
        <w:pStyle w:val="ListBullet"/>
      </w:pPr>
      <w:r>
        <w:t xml:space="preserve">Providing support in the form of background research and presentation slides to any </w:t>
      </w:r>
      <w:r w:rsidR="00B42CCF">
        <w:t>PEAC</w:t>
      </w:r>
      <w:r>
        <w:t xml:space="preserve"> members who are speaking at events where the work of the PRI is mentioned;</w:t>
      </w:r>
    </w:p>
    <w:p w14:paraId="27C5BD53" w14:textId="77777777" w:rsidR="00222315" w:rsidRDefault="00222315" w:rsidP="00222315">
      <w:pPr>
        <w:pStyle w:val="ListBullet"/>
      </w:pPr>
      <w:r>
        <w:t xml:space="preserve">Providing support in the form of background research and pitching material for </w:t>
      </w:r>
      <w:r w:rsidR="00B42CCF">
        <w:t>PEAC</w:t>
      </w:r>
      <w:r>
        <w:t xml:space="preserve"> members who are undertaking outreach and engagement activities on behalf of the PRI</w:t>
      </w:r>
      <w:r w:rsidR="009E69D4">
        <w:t>;</w:t>
      </w:r>
    </w:p>
    <w:p w14:paraId="3700EC92" w14:textId="20A9EF01" w:rsidR="00B31EF0" w:rsidRDefault="00222315" w:rsidP="00222315">
      <w:pPr>
        <w:pStyle w:val="ListBullet"/>
      </w:pPr>
      <w:r>
        <w:t>Coordinating communication on the activities of the private equity work streams to signatories</w:t>
      </w:r>
      <w:r w:rsidR="00B31EF0">
        <w:t>;</w:t>
      </w:r>
      <w:r w:rsidR="002C3F9A">
        <w:t xml:space="preserve"> keeping all references to PEAC membership updated on the </w:t>
      </w:r>
      <w:r w:rsidR="00F15BB6">
        <w:t>PRI website</w:t>
      </w:r>
      <w:r w:rsidR="002C3F9A">
        <w:t>;</w:t>
      </w:r>
    </w:p>
    <w:p w14:paraId="4FE9FE17" w14:textId="45D7F0E3" w:rsidR="00B31EF0" w:rsidRDefault="00B31EF0" w:rsidP="00222315">
      <w:pPr>
        <w:pStyle w:val="ListBullet"/>
      </w:pPr>
      <w:r>
        <w:t xml:space="preserve">Managing communication flow with Implementation Groups and PRI regional networks on </w:t>
      </w:r>
      <w:r w:rsidR="002C3F9A">
        <w:t xml:space="preserve">their </w:t>
      </w:r>
      <w:r>
        <w:t xml:space="preserve">PE activity and </w:t>
      </w:r>
      <w:r w:rsidR="002C3F9A">
        <w:t xml:space="preserve">ensuring </w:t>
      </w:r>
      <w:r>
        <w:t>alignment with PE w</w:t>
      </w:r>
      <w:r w:rsidR="002C3F9A">
        <w:t>ork stream objectives</w:t>
      </w:r>
      <w:r>
        <w:t>;</w:t>
      </w:r>
    </w:p>
    <w:p w14:paraId="67FCE042" w14:textId="4BF2B285" w:rsidR="00222315" w:rsidRDefault="00B31EF0" w:rsidP="00222315">
      <w:pPr>
        <w:pStyle w:val="ListBullet"/>
      </w:pPr>
      <w:r>
        <w:t>Overseeing PEAC composition: reviewing commitment and tenure; managing application process for open positions</w:t>
      </w:r>
      <w:r w:rsidR="00EB0F88">
        <w:t>.</w:t>
      </w:r>
    </w:p>
    <w:p w14:paraId="76E8FFA3" w14:textId="693F27D6" w:rsidR="00AF48D6" w:rsidRDefault="00AF48D6" w:rsidP="00AF48D6">
      <w:pPr>
        <w:pStyle w:val="ListBullet"/>
        <w:numPr>
          <w:ilvl w:val="0"/>
          <w:numId w:val="0"/>
        </w:numPr>
        <w:ind w:left="357" w:hanging="357"/>
        <w:rPr>
          <w:highlight w:val="yellow"/>
        </w:rPr>
      </w:pPr>
    </w:p>
    <w:p w14:paraId="014B6FB1" w14:textId="77777777" w:rsidR="00222315" w:rsidRDefault="00222315" w:rsidP="00222315">
      <w:pPr>
        <w:pStyle w:val="Heading3"/>
      </w:pPr>
      <w:r>
        <w:t>role of the chair</w:t>
      </w:r>
    </w:p>
    <w:p w14:paraId="46088595" w14:textId="77777777" w:rsidR="00222315" w:rsidRDefault="00222315" w:rsidP="00222315">
      <w:r>
        <w:t xml:space="preserve">The </w:t>
      </w:r>
      <w:r w:rsidR="00B42CCF">
        <w:t>PEAC</w:t>
      </w:r>
      <w:r>
        <w:t xml:space="preserve"> Chair commits to:</w:t>
      </w:r>
    </w:p>
    <w:p w14:paraId="4FF98C61" w14:textId="77777777" w:rsidR="00222315" w:rsidRDefault="00222315" w:rsidP="00222315"/>
    <w:p w14:paraId="338B5615" w14:textId="77777777" w:rsidR="00222315" w:rsidRDefault="00222315" w:rsidP="00222315">
      <w:pPr>
        <w:pStyle w:val="ListBullet"/>
      </w:pPr>
      <w:r>
        <w:t>Designating enough time to fulfil Chairing responsibilities</w:t>
      </w:r>
      <w:r w:rsidR="00A35E4C">
        <w:t xml:space="preserve"> (which include, but are not limited to: reviewing documents, advising the PE work stream manager, chairing meetings, acting as PE work stream spokesperson where required)</w:t>
      </w:r>
      <w:r>
        <w:t>;</w:t>
      </w:r>
    </w:p>
    <w:p w14:paraId="03722C3D" w14:textId="77777777" w:rsidR="00222315" w:rsidRDefault="00222315" w:rsidP="00222315">
      <w:pPr>
        <w:pStyle w:val="ListBullet"/>
      </w:pPr>
      <w:r>
        <w:t xml:space="preserve">Providing the Executive with guidance and working with the Executive to provide leadership to the </w:t>
      </w:r>
      <w:r w:rsidR="00B42CCF">
        <w:t>PEAC</w:t>
      </w:r>
      <w:r>
        <w:t xml:space="preserve"> as needed.</w:t>
      </w:r>
    </w:p>
    <w:p w14:paraId="4E17D403" w14:textId="77777777" w:rsidR="00222315" w:rsidRDefault="00222315" w:rsidP="00222315">
      <w:pPr>
        <w:pStyle w:val="Heading4"/>
      </w:pPr>
    </w:p>
    <w:p w14:paraId="032D453E" w14:textId="77777777" w:rsidR="00222315" w:rsidRDefault="00222315" w:rsidP="00222315">
      <w:pPr>
        <w:pStyle w:val="Heading3"/>
      </w:pPr>
      <w:r>
        <w:t>role of advisory committee members</w:t>
      </w:r>
    </w:p>
    <w:p w14:paraId="7AC6204E" w14:textId="77777777" w:rsidR="00222315" w:rsidRDefault="00B42CCF" w:rsidP="00222315">
      <w:r>
        <w:t>PEAC</w:t>
      </w:r>
      <w:r w:rsidR="00222315">
        <w:t xml:space="preserve"> members are expected to act in an advisory role to the Executive on work stream strategy and activity. Members of the </w:t>
      </w:r>
      <w:r>
        <w:t>PEAC</w:t>
      </w:r>
      <w:r w:rsidR="00222315">
        <w:t xml:space="preserve"> agree to commit </w:t>
      </w:r>
      <w:proofErr w:type="gramStart"/>
      <w:r w:rsidR="00222315">
        <w:t>sufficient</w:t>
      </w:r>
      <w:proofErr w:type="gramEnd"/>
      <w:r w:rsidR="00222315">
        <w:t xml:space="preserve"> time to promoting and overseeing the </w:t>
      </w:r>
      <w:r>
        <w:t>PE</w:t>
      </w:r>
      <w:r w:rsidR="00222315">
        <w:t xml:space="preserve"> work stream. Typical responsibilities may include, but are not limited to:</w:t>
      </w:r>
    </w:p>
    <w:p w14:paraId="1DD246CD" w14:textId="77777777" w:rsidR="00222315" w:rsidRDefault="00222315" w:rsidP="00222315"/>
    <w:p w14:paraId="26F2F79F" w14:textId="18EAEDF6" w:rsidR="00222315" w:rsidRDefault="00222315" w:rsidP="00222315">
      <w:pPr>
        <w:pStyle w:val="ListBullet"/>
      </w:pPr>
      <w:r>
        <w:t xml:space="preserve">A minimum of three </w:t>
      </w:r>
      <w:r w:rsidR="00335CFB">
        <w:t xml:space="preserve">PEAC </w:t>
      </w:r>
      <w:r>
        <w:t xml:space="preserve">conference calls/meetings per year, between </w:t>
      </w:r>
      <w:proofErr w:type="gramStart"/>
      <w:r>
        <w:t>one and three hours</w:t>
      </w:r>
      <w:proofErr w:type="gramEnd"/>
      <w:r>
        <w:t xml:space="preserve"> duration, one of which will be in person on the day after the annual PRI-PEI Responsible Investment Forum</w:t>
      </w:r>
      <w:r w:rsidR="002374F4">
        <w:t xml:space="preserve"> Europe</w:t>
      </w:r>
      <w:r>
        <w:t>;</w:t>
      </w:r>
    </w:p>
    <w:p w14:paraId="52125DBC" w14:textId="77777777" w:rsidR="00222315" w:rsidRDefault="00222315" w:rsidP="00222315">
      <w:pPr>
        <w:pStyle w:val="ListBullet"/>
      </w:pPr>
      <w:r>
        <w:t xml:space="preserve">Regular guidance/feedback to the Executive on relevant issues. This may include providing advice/feedback on outputs such as publications, toolkits and work stream strategy; </w:t>
      </w:r>
    </w:p>
    <w:p w14:paraId="25A2E05F" w14:textId="596FAD56" w:rsidR="00222315" w:rsidRDefault="00A35E4C" w:rsidP="00222315">
      <w:pPr>
        <w:pStyle w:val="ListBullet"/>
      </w:pPr>
      <w:r>
        <w:t>Commit to representing the PE work stream/speaking engagements where practical to do so</w:t>
      </w:r>
      <w:r w:rsidR="00222315">
        <w:t>. The Executive can provide support in the form of background research and presentation slides; and</w:t>
      </w:r>
    </w:p>
    <w:p w14:paraId="748665A4" w14:textId="77777777" w:rsidR="00222315" w:rsidRDefault="00222315" w:rsidP="00222315">
      <w:pPr>
        <w:pStyle w:val="ListBullet"/>
      </w:pPr>
      <w:r>
        <w:t>Outreach and engagement with peers on behalf of PRI. The Executive can provide support in the form of background research and pitching material.</w:t>
      </w:r>
    </w:p>
    <w:p w14:paraId="62F62934" w14:textId="77777777" w:rsidR="009E69D4" w:rsidRDefault="009E69D4" w:rsidP="00222315">
      <w:pPr>
        <w:pStyle w:val="ListBullet"/>
        <w:numPr>
          <w:ilvl w:val="0"/>
          <w:numId w:val="0"/>
        </w:numPr>
      </w:pPr>
    </w:p>
    <w:p w14:paraId="1897ADFF" w14:textId="77777777" w:rsidR="00DD643B" w:rsidRDefault="00222315" w:rsidP="00222315">
      <w:pPr>
        <w:pStyle w:val="ListBullet"/>
        <w:numPr>
          <w:ilvl w:val="0"/>
          <w:numId w:val="0"/>
        </w:numPr>
      </w:pPr>
      <w:r>
        <w:t xml:space="preserve">All </w:t>
      </w:r>
      <w:r w:rsidR="00B42CCF">
        <w:t>PEAC</w:t>
      </w:r>
      <w:r>
        <w:t xml:space="preserve"> members are welcome to undertake additional work, for example, drafting documents if their schedules enable them to do so.</w:t>
      </w:r>
    </w:p>
    <w:p w14:paraId="7C15C447" w14:textId="77777777" w:rsidR="009171D0" w:rsidRDefault="009171D0" w:rsidP="00222315">
      <w:pPr>
        <w:pStyle w:val="Heading3"/>
      </w:pPr>
    </w:p>
    <w:p w14:paraId="2F71572A" w14:textId="77777777" w:rsidR="009171D0" w:rsidRDefault="009171D0" w:rsidP="00222315">
      <w:pPr>
        <w:pStyle w:val="Heading3"/>
      </w:pPr>
    </w:p>
    <w:p w14:paraId="0631636F" w14:textId="77777777" w:rsidR="00122C1E" w:rsidRDefault="00122C1E" w:rsidP="00222315">
      <w:pPr>
        <w:pStyle w:val="Heading3"/>
      </w:pPr>
    </w:p>
    <w:p w14:paraId="6C23F2C7" w14:textId="67D23468" w:rsidR="00222315" w:rsidRDefault="00222315" w:rsidP="00222315">
      <w:pPr>
        <w:pStyle w:val="Heading3"/>
      </w:pPr>
      <w:bookmarkStart w:id="0" w:name="_GoBack"/>
      <w:bookmarkEnd w:id="0"/>
      <w:r>
        <w:lastRenderedPageBreak/>
        <w:t>role of the pri board</w:t>
      </w:r>
    </w:p>
    <w:p w14:paraId="3A25A664" w14:textId="262E885C" w:rsidR="00222315" w:rsidRPr="002C3647" w:rsidRDefault="00222315" w:rsidP="00222315">
      <w:pPr>
        <w:rPr>
          <w:u w:val="single"/>
        </w:rPr>
      </w:pPr>
      <w:r>
        <w:t xml:space="preserve">The PRI Board oversees the constructive relationship between the Executive and Signatories as well as acting as a final point of escalation on matters related to the Executive’s work to drive signatory implementation of the Principles, including ESG incorporation, active ownership, collaboration and reporting. </w:t>
      </w:r>
      <w:r w:rsidRPr="00222315">
        <w:t xml:space="preserve">The Board has oversight of the terms of reference for all </w:t>
      </w:r>
      <w:r w:rsidR="00EC1443">
        <w:t>signatory</w:t>
      </w:r>
      <w:r w:rsidRPr="00222315">
        <w:t xml:space="preserve"> groups. </w:t>
      </w:r>
    </w:p>
    <w:p w14:paraId="516D2BF5" w14:textId="77777777" w:rsidR="00222315" w:rsidRPr="002C3647" w:rsidRDefault="00222315" w:rsidP="00222315">
      <w:pPr>
        <w:rPr>
          <w:u w:val="single"/>
        </w:rPr>
      </w:pPr>
    </w:p>
    <w:p w14:paraId="643C49D7" w14:textId="77777777" w:rsidR="00222315" w:rsidRPr="00222315" w:rsidRDefault="00222315" w:rsidP="00222315">
      <w:r>
        <w:t xml:space="preserve">If a signatory has a significant concern with the operations of a signatory </w:t>
      </w:r>
      <w:proofErr w:type="gramStart"/>
      <w:r>
        <w:t>group</w:t>
      </w:r>
      <w:proofErr w:type="gramEnd"/>
      <w:r>
        <w:t xml:space="preserve"> the signatory can escalate the issue(s) to the head of the PRI Executive. If the matter cannot be resolved by the head of the PRI Executive the issue(s) will be escalated to the PRI Board. </w:t>
      </w:r>
    </w:p>
    <w:p w14:paraId="77E9B643" w14:textId="77777777" w:rsidR="00222315" w:rsidRDefault="00222315" w:rsidP="00222315">
      <w:pPr>
        <w:pStyle w:val="Heading2"/>
        <w:numPr>
          <w:ilvl w:val="0"/>
          <w:numId w:val="22"/>
        </w:numPr>
      </w:pPr>
      <w:r>
        <w:t>action plan and timeline</w:t>
      </w:r>
    </w:p>
    <w:p w14:paraId="5C021D87" w14:textId="77777777" w:rsidR="00222315" w:rsidRDefault="00222315" w:rsidP="00222315">
      <w:pPr>
        <w:jc w:val="both"/>
      </w:pPr>
    </w:p>
    <w:p w14:paraId="5833A12D" w14:textId="02049A5A" w:rsidR="00222315" w:rsidRDefault="00222315" w:rsidP="00222315">
      <w:pPr>
        <w:jc w:val="both"/>
      </w:pPr>
      <w:r>
        <w:t xml:space="preserve">An action plan with suggested time frames and milestones will be established </w:t>
      </w:r>
      <w:r w:rsidR="00EC1443">
        <w:t>by the Exec</w:t>
      </w:r>
      <w:r w:rsidR="000B38B4">
        <w:t>utive and presented to the PEAC</w:t>
      </w:r>
      <w:r w:rsidR="00EC1443">
        <w:t xml:space="preserve"> for approval </w:t>
      </w:r>
      <w:r>
        <w:t xml:space="preserve">at the first </w:t>
      </w:r>
      <w:r w:rsidR="00B42CCF">
        <w:t>PEAC</w:t>
      </w:r>
      <w:r>
        <w:t xml:space="preserve"> meeting of each year. </w:t>
      </w:r>
      <w:r w:rsidR="000B38B4">
        <w:t>Progress against the action</w:t>
      </w:r>
      <w:r>
        <w:t xml:space="preserve"> plan should be evaluated </w:t>
      </w:r>
      <w:r w:rsidR="000B38B4">
        <w:t xml:space="preserve">by the PEAC </w:t>
      </w:r>
      <w:r>
        <w:t>during the last meeting of each year.</w:t>
      </w:r>
    </w:p>
    <w:p w14:paraId="4FBB3315" w14:textId="77777777" w:rsidR="00222315" w:rsidRDefault="00222315" w:rsidP="00222315">
      <w:pPr>
        <w:pStyle w:val="Heading2"/>
        <w:numPr>
          <w:ilvl w:val="0"/>
          <w:numId w:val="22"/>
        </w:numPr>
      </w:pPr>
      <w:r>
        <w:t>Reporting requirements</w:t>
      </w:r>
    </w:p>
    <w:p w14:paraId="5BA39082" w14:textId="77777777" w:rsidR="00222315" w:rsidRDefault="00222315" w:rsidP="00222315"/>
    <w:p w14:paraId="2CEBA9F0" w14:textId="3A2C21C0" w:rsidR="00222315" w:rsidRDefault="00222315" w:rsidP="00222315">
      <w:r>
        <w:t xml:space="preserve">The </w:t>
      </w:r>
      <w:r w:rsidR="00EC1443">
        <w:t xml:space="preserve">Executive will report on </w:t>
      </w:r>
      <w:r w:rsidR="00B42CCF">
        <w:t>PEAC</w:t>
      </w:r>
      <w:r>
        <w:t xml:space="preserve"> activities every quarter on the signatory website. Meeting minutes will be published to the signatory website once approved by the </w:t>
      </w:r>
      <w:r w:rsidR="00B42CCF">
        <w:t>PEAC</w:t>
      </w:r>
      <w:r>
        <w:t xml:space="preserve"> Chair.</w:t>
      </w:r>
    </w:p>
    <w:p w14:paraId="67E32670" w14:textId="77777777" w:rsidR="00222315" w:rsidRDefault="00222315" w:rsidP="00222315">
      <w:pPr>
        <w:jc w:val="both"/>
      </w:pPr>
    </w:p>
    <w:p w14:paraId="1046971E" w14:textId="082F19B5" w:rsidR="00222315" w:rsidRPr="00DD643B" w:rsidRDefault="00222315" w:rsidP="00222315">
      <w:pPr>
        <w:jc w:val="both"/>
      </w:pPr>
      <w:r>
        <w:t>Th</w:t>
      </w:r>
      <w:r w:rsidR="00B42CCF">
        <w:t>is</w:t>
      </w:r>
      <w:r>
        <w:t xml:space="preserve"> </w:t>
      </w:r>
      <w:r w:rsidR="00B42CCF">
        <w:t>PEAC</w:t>
      </w:r>
      <w:r>
        <w:t xml:space="preserve"> Terms of Reference will be published on the signatory website, including an</w:t>
      </w:r>
      <w:r w:rsidR="00EC1443">
        <w:t xml:space="preserve"> up-to-date</w:t>
      </w:r>
      <w:r>
        <w:t xml:space="preserve"> list of individual members and designation of Chair.</w:t>
      </w:r>
    </w:p>
    <w:p w14:paraId="7F201A1C" w14:textId="77777777" w:rsidR="00DD643B" w:rsidRDefault="00DD643B" w:rsidP="00222315">
      <w:pPr>
        <w:pStyle w:val="Heading2"/>
        <w:numPr>
          <w:ilvl w:val="0"/>
          <w:numId w:val="22"/>
        </w:numPr>
      </w:pPr>
      <w:r>
        <w:t>Code of conduct</w:t>
      </w:r>
    </w:p>
    <w:p w14:paraId="0D969791" w14:textId="77777777" w:rsidR="00222315" w:rsidRPr="00222315" w:rsidRDefault="00222315" w:rsidP="00222315"/>
    <w:p w14:paraId="65413EA9" w14:textId="77777777" w:rsidR="00222315" w:rsidRDefault="00222315" w:rsidP="00222315">
      <w:pPr>
        <w:pStyle w:val="ListBullet"/>
      </w:pPr>
      <w:r w:rsidRPr="007A2984">
        <w:t>A</w:t>
      </w:r>
      <w:r>
        <w:t>n Advisory Committee</w:t>
      </w:r>
      <w:r w:rsidRPr="007A2984">
        <w:t xml:space="preserve"> meeting should proceed only if </w:t>
      </w:r>
      <w:proofErr w:type="gramStart"/>
      <w:r w:rsidRPr="007A2984">
        <w:t>a majority of</w:t>
      </w:r>
      <w:proofErr w:type="gramEnd"/>
      <w:r w:rsidRPr="007A2984">
        <w:t xml:space="preserve"> members can attend (in person and/or on the phone). Due to </w:t>
      </w:r>
      <w:r>
        <w:t>regional time</w:t>
      </w:r>
      <w:r w:rsidRPr="007A2984">
        <w:t xml:space="preserve"> differences, separate calls </w:t>
      </w:r>
      <w:r>
        <w:t xml:space="preserve">may on occasion be held with members unable to join the </w:t>
      </w:r>
      <w:r w:rsidRPr="007A2984">
        <w:t>meeting</w:t>
      </w:r>
      <w:r>
        <w:t>s.</w:t>
      </w:r>
    </w:p>
    <w:p w14:paraId="130DC0F3" w14:textId="1B4625A0" w:rsidR="00222315" w:rsidRDefault="00222315" w:rsidP="00222315">
      <w:pPr>
        <w:pStyle w:val="ListBullet"/>
      </w:pPr>
      <w:r>
        <w:t xml:space="preserve">The proactive involvement of signatories is important to the success of the group. The Executive may cancel individual signatories’ participation </w:t>
      </w:r>
      <w:r w:rsidR="004F50E9">
        <w:t xml:space="preserve">and invite other interested signatories to participate </w:t>
      </w:r>
      <w:r>
        <w:t>if the required level of commitment is not demonstrated.</w:t>
      </w:r>
    </w:p>
    <w:p w14:paraId="11AFDECE" w14:textId="5E682B0B" w:rsidR="00222315" w:rsidRDefault="00222315" w:rsidP="00222315">
      <w:pPr>
        <w:pStyle w:val="ListBullet"/>
      </w:pPr>
      <w:r>
        <w:t>Signatories must refrain from using these forums for explicit commercial purposes and should focus on furthering the goals and objectives of the work stream. Failure to meet these requirements may also lead the Executive to cancel signatory participation</w:t>
      </w:r>
    </w:p>
    <w:p w14:paraId="64F7E345" w14:textId="11F9E769" w:rsidR="00AD65E1" w:rsidRDefault="00222315" w:rsidP="00AD65E1">
      <w:pPr>
        <w:pStyle w:val="ListBullet"/>
      </w:pPr>
      <w:r>
        <w:t>Advisory Committee members are welcome to advertise their participation</w:t>
      </w:r>
      <w:r w:rsidR="004F50E9">
        <w:t xml:space="preserve"> in other forums such as LinkedIn</w:t>
      </w:r>
      <w:r>
        <w:t xml:space="preserve">. </w:t>
      </w:r>
    </w:p>
    <w:p w14:paraId="3B2F5287" w14:textId="217DE567" w:rsidR="00C81827" w:rsidRDefault="00C81827" w:rsidP="00C81827">
      <w:pPr>
        <w:pStyle w:val="ListBullet"/>
        <w:numPr>
          <w:ilvl w:val="0"/>
          <w:numId w:val="0"/>
        </w:numPr>
      </w:pPr>
    </w:p>
    <w:p w14:paraId="75D66A85" w14:textId="3DC162CF" w:rsidR="00C81827" w:rsidRDefault="00C81827" w:rsidP="00C81827">
      <w:pPr>
        <w:pStyle w:val="ListBullet"/>
        <w:numPr>
          <w:ilvl w:val="0"/>
          <w:numId w:val="0"/>
        </w:numPr>
      </w:pPr>
    </w:p>
    <w:p w14:paraId="3EF867A8" w14:textId="15AF4FC3" w:rsidR="00C81827" w:rsidRDefault="00C81827" w:rsidP="00C81827">
      <w:pPr>
        <w:pStyle w:val="ListBullet"/>
        <w:numPr>
          <w:ilvl w:val="0"/>
          <w:numId w:val="0"/>
        </w:numPr>
      </w:pPr>
    </w:p>
    <w:p w14:paraId="0193973A" w14:textId="77777777" w:rsidR="009171D0" w:rsidRDefault="009171D0" w:rsidP="00C81827">
      <w:pPr>
        <w:pStyle w:val="ListBullet"/>
        <w:numPr>
          <w:ilvl w:val="0"/>
          <w:numId w:val="0"/>
        </w:numPr>
      </w:pPr>
    </w:p>
    <w:p w14:paraId="608CC76E" w14:textId="2B2C7F19" w:rsidR="00A22457" w:rsidRDefault="00941778" w:rsidP="00A22457">
      <w:pPr>
        <w:pStyle w:val="Heading2"/>
        <w:numPr>
          <w:ilvl w:val="0"/>
          <w:numId w:val="22"/>
        </w:numPr>
      </w:pPr>
      <w:r>
        <w:lastRenderedPageBreak/>
        <w:t>taskforces</w:t>
      </w:r>
      <w:r w:rsidR="0038227C">
        <w:t>, deliverables</w:t>
      </w:r>
      <w:r>
        <w:t xml:space="preserve"> and working groups</w:t>
      </w:r>
    </w:p>
    <w:p w14:paraId="13CBA560" w14:textId="77777777" w:rsidR="00A22457" w:rsidRDefault="00A22457" w:rsidP="00A22457"/>
    <w:p w14:paraId="4107FB5A" w14:textId="40FF81E7" w:rsidR="00671171" w:rsidRDefault="0038227C" w:rsidP="00671171">
      <w:r>
        <w:t xml:space="preserve">Aside from providing oversight of strategic objectives, </w:t>
      </w:r>
      <w:r w:rsidR="00941778">
        <w:t>PEAC members will be invited to join short-term</w:t>
      </w:r>
      <w:r>
        <w:t xml:space="preserve"> and reactive</w:t>
      </w:r>
      <w:r w:rsidR="00941778">
        <w:t xml:space="preserve"> taskforces to provide advice and input into specific projects (i.e. assembling formal feedback to a consultation). </w:t>
      </w:r>
    </w:p>
    <w:p w14:paraId="65BE420A" w14:textId="77777777" w:rsidR="00671171" w:rsidRDefault="00671171" w:rsidP="00671171"/>
    <w:p w14:paraId="20CC8617" w14:textId="1F1ECFB7" w:rsidR="0038227C" w:rsidRDefault="0038227C" w:rsidP="0038227C">
      <w:r>
        <w:t xml:space="preserve">In delivering the PE work stream strategic objectives, the Executive is responsible for deliverables such as events/workshops, webinars, best practice case studies, guidelines and publications/research notes. The PEAC will provide oversight of the deliverables and ensure that they are relevant to the work stream strategic objectives. </w:t>
      </w:r>
    </w:p>
    <w:p w14:paraId="18B87D1B" w14:textId="104831DB" w:rsidR="0038227C" w:rsidRDefault="0038227C" w:rsidP="0038227C"/>
    <w:p w14:paraId="05828672" w14:textId="4BC4D71D" w:rsidR="0038227C" w:rsidRDefault="0038227C" w:rsidP="0038227C">
      <w:r>
        <w:t xml:space="preserve">The Executive, as advised by the PEAC, can set out guidelines for the operations of a project deliverable, including the establishment of a dedicated working group if required. The aim of the guidelines is to facilitate effective projects that work towards the desired aim by establishing from the outset the required commitment, timeline, responsibilities and other contributors to a successful project. The guidelines are ultimately decided by the Executive, having taken input from the PEAC into account. </w:t>
      </w:r>
    </w:p>
    <w:p w14:paraId="597D43A2" w14:textId="77777777" w:rsidR="0038227C" w:rsidRDefault="0038227C" w:rsidP="0038227C"/>
    <w:p w14:paraId="4B21A2AC" w14:textId="77777777" w:rsidR="0038227C" w:rsidRDefault="0038227C" w:rsidP="0038227C">
      <w:pPr>
        <w:jc w:val="both"/>
      </w:pPr>
      <w:r>
        <w:t xml:space="preserve">When the PEAC action plan includes specific deliverables that require an intensive amount of signatory input, the Executive will form a signatory working group to support the deliverable. </w:t>
      </w:r>
    </w:p>
    <w:p w14:paraId="4000F582" w14:textId="77777777" w:rsidR="0038227C" w:rsidRDefault="0038227C" w:rsidP="0038227C">
      <w:pPr>
        <w:jc w:val="both"/>
      </w:pPr>
      <w:r>
        <w:t xml:space="preserve">The Executive will </w:t>
      </w:r>
      <w:r w:rsidRPr="00845739">
        <w:t xml:space="preserve">publicise </w:t>
      </w:r>
      <w:r>
        <w:t>opportunities to join PE working groups</w:t>
      </w:r>
      <w:r w:rsidRPr="00845739">
        <w:t xml:space="preserve"> </w:t>
      </w:r>
      <w:r>
        <w:t>as they arise, including the criteria for application and timelines,</w:t>
      </w:r>
      <w:r w:rsidRPr="00845739">
        <w:t xml:space="preserve"> via relevant newsletters</w:t>
      </w:r>
      <w:r>
        <w:t xml:space="preserve"> and the PRI website for a minimum of four weeks. The Executive may consult with PEAC on the composition of the working group. The working groups will be given detailed information on the project plan and should have a clear idea of their role and time commitment.</w:t>
      </w:r>
    </w:p>
    <w:p w14:paraId="6DB2C3A0" w14:textId="77777777" w:rsidR="0038227C" w:rsidRDefault="0038227C" w:rsidP="0038227C"/>
    <w:p w14:paraId="0F4A402C" w14:textId="45306C2D" w:rsidR="00671171" w:rsidRDefault="0038227C" w:rsidP="0038227C">
      <w:r>
        <w:t>PEAC members are welcome, though not obliged, to participate in these working groups. T</w:t>
      </w:r>
      <w:r w:rsidR="00671171">
        <w:t xml:space="preserve">he PEAC will retain ultimate oversight of the </w:t>
      </w:r>
      <w:r>
        <w:t>project deliverable</w:t>
      </w:r>
      <w:r w:rsidR="00671171">
        <w:t>.</w:t>
      </w:r>
    </w:p>
    <w:p w14:paraId="51DCFA6E" w14:textId="77777777" w:rsidR="00671171" w:rsidRDefault="00671171" w:rsidP="00671171">
      <w:pPr>
        <w:jc w:val="both"/>
      </w:pPr>
    </w:p>
    <w:p w14:paraId="2856F18D" w14:textId="7DF76F30" w:rsidR="00EC1443" w:rsidRPr="00222315" w:rsidRDefault="00F1156D" w:rsidP="00AF48D6">
      <w:r>
        <w:t xml:space="preserve">The </w:t>
      </w:r>
      <w:r w:rsidR="005F7FBB">
        <w:t xml:space="preserve">Executive </w:t>
      </w:r>
      <w:r>
        <w:t xml:space="preserve">will present all </w:t>
      </w:r>
      <w:r w:rsidR="005F7FBB">
        <w:t>outputs of strategic deliverables</w:t>
      </w:r>
      <w:r>
        <w:t xml:space="preserve"> to the PEAC for feedback and approval. </w:t>
      </w:r>
      <w:r w:rsidR="00EC1443">
        <w:t xml:space="preserve">The Executive </w:t>
      </w:r>
      <w:proofErr w:type="gramStart"/>
      <w:r w:rsidR="00EC1443">
        <w:t>at all times</w:t>
      </w:r>
      <w:proofErr w:type="gramEnd"/>
      <w:r w:rsidR="00EC1443">
        <w:t xml:space="preserve"> retains ownership and final sign-off of any </w:t>
      </w:r>
      <w:r w:rsidR="005F7FBB">
        <w:t>outputs</w:t>
      </w:r>
      <w:r w:rsidR="00EC1443">
        <w:t xml:space="preserve"> of signatory groups that are published under the name of the PRI. The Executive is responsible for the timelines, resources and budget that have been allocated to the project. Outputs can be sponsored by signatories and other stakeholders. Signatories and stakeholders can determine </w:t>
      </w:r>
      <w:proofErr w:type="gramStart"/>
      <w:r w:rsidR="00EC1443">
        <w:t>whether or not</w:t>
      </w:r>
      <w:proofErr w:type="gramEnd"/>
      <w:r w:rsidR="00EC1443">
        <w:t xml:space="preserve"> to add their names and logos, when required, to the final outputs.</w:t>
      </w:r>
    </w:p>
    <w:p w14:paraId="2A7D6F69" w14:textId="77777777" w:rsidR="00DD643B" w:rsidRDefault="00222315" w:rsidP="00222315">
      <w:pPr>
        <w:pStyle w:val="Heading2"/>
        <w:numPr>
          <w:ilvl w:val="0"/>
          <w:numId w:val="22"/>
        </w:numPr>
      </w:pPr>
      <w:r>
        <w:t>contact</w:t>
      </w:r>
    </w:p>
    <w:p w14:paraId="2927EA09" w14:textId="77777777" w:rsidR="00222315" w:rsidRDefault="00222315" w:rsidP="00DD643B"/>
    <w:p w14:paraId="7B4A1B68" w14:textId="6AE6E52C" w:rsidR="00DD643B" w:rsidRPr="00DD643B" w:rsidRDefault="00222315" w:rsidP="00DD643B">
      <w:r>
        <w:t xml:space="preserve">If you are interested in understanding more about the Private Equity Advisory Committee, please contact </w:t>
      </w:r>
      <w:r w:rsidR="000E7892">
        <w:t>Peter Dunbar</w:t>
      </w:r>
      <w:r>
        <w:t xml:space="preserve"> (</w:t>
      </w:r>
      <w:hyperlink r:id="rId12" w:history="1">
        <w:r w:rsidR="000E7892" w:rsidRPr="005033C3">
          <w:rPr>
            <w:rStyle w:val="Hyperlink"/>
          </w:rPr>
          <w:t>peter.dunbar@unpri.org</w:t>
        </w:r>
      </w:hyperlink>
      <w:r>
        <w:t>).</w:t>
      </w:r>
    </w:p>
    <w:sectPr w:rsidR="00DD643B" w:rsidRPr="00DD643B" w:rsidSect="00AB69B0">
      <w:footerReference w:type="default" r:id="rId13"/>
      <w:headerReference w:type="first" r:id="rId14"/>
      <w:footerReference w:type="first" r:id="rId15"/>
      <w:pgSz w:w="11900" w:h="16840"/>
      <w:pgMar w:top="1276" w:right="1616" w:bottom="1560" w:left="161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33933" w14:textId="77777777" w:rsidR="00CC6090" w:rsidRDefault="00CC6090" w:rsidP="00936049">
      <w:r>
        <w:separator/>
      </w:r>
    </w:p>
  </w:endnote>
  <w:endnote w:type="continuationSeparator" w:id="0">
    <w:p w14:paraId="44338595" w14:textId="77777777" w:rsidR="00CC6090" w:rsidRDefault="00CC6090" w:rsidP="009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lright Sans Regular">
    <w:altName w:val="Arial"/>
    <w:panose1 w:val="00000000000000000000"/>
    <w:charset w:val="00"/>
    <w:family w:val="modern"/>
    <w:notTrueType/>
    <w:pitch w:val="variable"/>
    <w:sig w:usb0="0000008F" w:usb1="00000001" w:usb2="00000000" w:usb3="00000000" w:csb0="0000000B" w:csb1="00000000"/>
  </w:font>
  <w:font w:name="Alright Sans Regular Italic">
    <w:altName w:val="Arial"/>
    <w:panose1 w:val="00000000000000000000"/>
    <w:charset w:val="00"/>
    <w:family w:val="modern"/>
    <w:notTrueType/>
    <w:pitch w:val="variable"/>
    <w:sig w:usb0="0000008F" w:usb1="00000001" w:usb2="00000000" w:usb3="00000000" w:csb0="0000000B"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Segoe UI"/>
    <w:charset w:val="00"/>
    <w:family w:val="auto"/>
    <w:pitch w:val="variable"/>
    <w:sig w:usb0="00000000" w:usb1="5000A1FF" w:usb2="00000000" w:usb3="00000000" w:csb0="000001BF" w:csb1="00000000"/>
  </w:font>
  <w:font w:name="Alright Sans Light">
    <w:altName w:val="Calibri"/>
    <w:panose1 w:val="00000000000000000000"/>
    <w:charset w:val="00"/>
    <w:family w:val="modern"/>
    <w:notTrueType/>
    <w:pitch w:val="variable"/>
    <w:sig w:usb0="0000008F" w:usb1="00000001"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DA17D" w14:textId="2867D3B3" w:rsidR="008D1D7E" w:rsidRPr="0098553C" w:rsidRDefault="00C916FE" w:rsidP="00F35021">
    <w:pPr>
      <w:pStyle w:val="Footer"/>
      <w:framePr w:w="11854" w:wrap="around" w:vAnchor="text" w:hAnchor="page" w:x="59" w:y="501"/>
      <w:jc w:val="center"/>
      <w:rPr>
        <w:rStyle w:val="PageNumber"/>
        <w:rFonts w:ascii="Alright Sans Light" w:hAnsi="Alright Sans Light"/>
        <w:color w:val="808080"/>
      </w:rPr>
    </w:pPr>
    <w:r w:rsidRPr="0098553C">
      <w:rPr>
        <w:rStyle w:val="PageNumber"/>
        <w:rFonts w:ascii="Alright Sans Light" w:hAnsi="Alright Sans Light"/>
        <w:color w:val="808080"/>
      </w:rPr>
      <w:fldChar w:fldCharType="begin"/>
    </w:r>
    <w:r w:rsidR="008D1D7E" w:rsidRPr="0098553C">
      <w:rPr>
        <w:rStyle w:val="PageNumber"/>
        <w:rFonts w:ascii="Alright Sans Light" w:hAnsi="Alright Sans Light"/>
        <w:color w:val="808080"/>
      </w:rPr>
      <w:instrText xml:space="preserve">PAGE  </w:instrText>
    </w:r>
    <w:r w:rsidRPr="0098553C">
      <w:rPr>
        <w:rStyle w:val="PageNumber"/>
        <w:rFonts w:ascii="Alright Sans Light" w:hAnsi="Alright Sans Light"/>
        <w:color w:val="808080"/>
      </w:rPr>
      <w:fldChar w:fldCharType="separate"/>
    </w:r>
    <w:r w:rsidR="005F7FBB">
      <w:rPr>
        <w:rStyle w:val="PageNumber"/>
        <w:rFonts w:ascii="Alright Sans Light" w:hAnsi="Alright Sans Light"/>
        <w:noProof/>
        <w:color w:val="808080"/>
      </w:rPr>
      <w:t>7</w:t>
    </w:r>
    <w:r w:rsidRPr="0098553C">
      <w:rPr>
        <w:rStyle w:val="PageNumber"/>
        <w:rFonts w:ascii="Alright Sans Light" w:hAnsi="Alright Sans Light"/>
        <w:color w:val="808080"/>
      </w:rPr>
      <w:fldChar w:fldCharType="end"/>
    </w:r>
  </w:p>
  <w:p w14:paraId="4868F3FA" w14:textId="77777777" w:rsidR="008D1D7E" w:rsidRDefault="008D1D7E" w:rsidP="00EA097C">
    <w:pPr>
      <w:pStyle w:val="Footer"/>
      <w:tabs>
        <w:tab w:val="clear" w:pos="4320"/>
        <w:tab w:val="clear" w:pos="8640"/>
        <w:tab w:val="left" w:pos="7485"/>
        <w:tab w:val="right" w:pos="8668"/>
      </w:tabs>
    </w:pPr>
    <w:r>
      <w:rPr>
        <w:noProof/>
        <w:lang w:eastAsia="en-GB"/>
      </w:rPr>
      <w:drawing>
        <wp:anchor distT="0" distB="0" distL="114300" distR="114300" simplePos="0" relativeHeight="251656704" behindDoc="1" locked="0" layoutInCell="1" allowOverlap="1" wp14:anchorId="29173EF7" wp14:editId="7BD74525">
          <wp:simplePos x="0" y="0"/>
          <wp:positionH relativeFrom="page">
            <wp:align>right</wp:align>
          </wp:positionH>
          <wp:positionV relativeFrom="page">
            <wp:align>bottom</wp:align>
          </wp:positionV>
          <wp:extent cx="7560000" cy="1173600"/>
          <wp:effectExtent l="0" t="0" r="3175" b="762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Users:Max:Desktop:PRI:12.02.23 PRI Letterhead:Archive:Resource:Images:Word:PRI_Letterhead_subPage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7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097C">
      <w:tab/>
    </w:r>
    <w:r w:rsidR="00EA097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2F3BE" w14:textId="77777777" w:rsidR="008D1D7E" w:rsidRDefault="00EA097C" w:rsidP="00DF453C">
    <w:pPr>
      <w:pStyle w:val="Footer"/>
      <w:tabs>
        <w:tab w:val="clear" w:pos="4320"/>
        <w:tab w:val="clear" w:pos="8640"/>
        <w:tab w:val="left" w:pos="5520"/>
      </w:tabs>
    </w:pPr>
    <w:r>
      <w:rPr>
        <w:noProof/>
        <w:lang w:eastAsia="en-GB"/>
      </w:rPr>
      <w:drawing>
        <wp:anchor distT="0" distB="0" distL="114300" distR="114300" simplePos="0" relativeHeight="251660800" behindDoc="0" locked="0" layoutInCell="1" allowOverlap="1" wp14:anchorId="357B0B21" wp14:editId="4C66C715">
          <wp:simplePos x="0" y="0"/>
          <wp:positionH relativeFrom="page">
            <wp:posOffset>3582470</wp:posOffset>
          </wp:positionH>
          <wp:positionV relativeFrom="page">
            <wp:posOffset>9676737</wp:posOffset>
          </wp:positionV>
          <wp:extent cx="3972833" cy="8820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2014 -Partnership.jpg"/>
                  <pic:cNvPicPr/>
                </pic:nvPicPr>
                <pic:blipFill>
                  <a:blip r:embed="rId1">
                    <a:extLst>
                      <a:ext uri="{28A0092B-C50C-407E-A947-70E740481C1C}">
                        <a14:useLocalDpi xmlns:a14="http://schemas.microsoft.com/office/drawing/2010/main" val="0"/>
                      </a:ext>
                    </a:extLst>
                  </a:blip>
                  <a:stretch>
                    <a:fillRect/>
                  </a:stretch>
                </pic:blipFill>
                <pic:spPr>
                  <a:xfrm>
                    <a:off x="0" y="0"/>
                    <a:ext cx="3972833" cy="882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1DF03F28" wp14:editId="24B3A2CC">
          <wp:simplePos x="0" y="0"/>
          <wp:positionH relativeFrom="page">
            <wp:align>left</wp:align>
          </wp:positionH>
          <wp:positionV relativeFrom="page">
            <wp:align>bottom</wp:align>
          </wp:positionV>
          <wp:extent cx="2919600" cy="8820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2014 -Address.jpg"/>
                  <pic:cNvPicPr/>
                </pic:nvPicPr>
                <pic:blipFill>
                  <a:blip r:embed="rId2">
                    <a:extLst>
                      <a:ext uri="{28A0092B-C50C-407E-A947-70E740481C1C}">
                        <a14:useLocalDpi xmlns:a14="http://schemas.microsoft.com/office/drawing/2010/main" val="0"/>
                      </a:ext>
                    </a:extLst>
                  </a:blip>
                  <a:stretch>
                    <a:fillRect/>
                  </a:stretch>
                </pic:blipFill>
                <pic:spPr>
                  <a:xfrm>
                    <a:off x="0" y="0"/>
                    <a:ext cx="2919600" cy="88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1F16D" w14:textId="77777777" w:rsidR="00CC6090" w:rsidRDefault="00CC6090" w:rsidP="00936049">
      <w:r>
        <w:separator/>
      </w:r>
    </w:p>
  </w:footnote>
  <w:footnote w:type="continuationSeparator" w:id="0">
    <w:p w14:paraId="0A7F5C89" w14:textId="77777777" w:rsidR="00CC6090" w:rsidRDefault="00CC6090" w:rsidP="00936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E054C" w14:textId="77777777" w:rsidR="008D1D7E" w:rsidRDefault="008D1D7E" w:rsidP="00F14FE0">
    <w:pPr>
      <w:pStyle w:val="Header"/>
      <w:tabs>
        <w:tab w:val="clear" w:pos="4320"/>
        <w:tab w:val="clear" w:pos="8640"/>
        <w:tab w:val="left" w:pos="5190"/>
      </w:tabs>
    </w:pPr>
    <w:r>
      <w:rPr>
        <w:noProof/>
        <w:lang w:eastAsia="en-GB"/>
      </w:rPr>
      <w:drawing>
        <wp:anchor distT="0" distB="0" distL="114300" distR="114300" simplePos="0" relativeHeight="251657728" behindDoc="1" locked="0" layoutInCell="1" allowOverlap="1" wp14:anchorId="0C849E38" wp14:editId="56B694E5">
          <wp:simplePos x="0" y="0"/>
          <wp:positionH relativeFrom="page">
            <wp:posOffset>9432</wp:posOffset>
          </wp:positionH>
          <wp:positionV relativeFrom="page">
            <wp:posOffset>0</wp:posOffset>
          </wp:positionV>
          <wp:extent cx="7541446" cy="1360805"/>
          <wp:effectExtent l="0" t="0" r="2540" b="1079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1446" cy="1360805"/>
                  </a:xfrm>
                  <a:prstGeom prst="rect">
                    <a:avLst/>
                  </a:prstGeom>
                  <a:noFill/>
                  <a:ln>
                    <a:noFill/>
                  </a:ln>
                </pic:spPr>
              </pic:pic>
            </a:graphicData>
          </a:graphic>
        </wp:anchor>
      </w:drawing>
    </w:r>
    <w:r w:rsidR="00F14FE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881E84"/>
    <w:lvl w:ilvl="0">
      <w:start w:val="1"/>
      <w:numFmt w:val="decimal"/>
      <w:pStyle w:val="ListNumber5"/>
      <w:lvlText w:val="%1."/>
      <w:lvlJc w:val="left"/>
      <w:pPr>
        <w:tabs>
          <w:tab w:val="num" w:pos="340"/>
        </w:tabs>
        <w:ind w:left="340" w:hanging="340"/>
      </w:pPr>
      <w:rPr>
        <w:rFonts w:hint="default"/>
      </w:rPr>
    </w:lvl>
  </w:abstractNum>
  <w:abstractNum w:abstractNumId="1" w15:restartNumberingAfterBreak="0">
    <w:nsid w:val="FFFFFF7D"/>
    <w:multiLevelType w:val="singleLevel"/>
    <w:tmpl w:val="061A906C"/>
    <w:lvl w:ilvl="0">
      <w:start w:val="1"/>
      <w:numFmt w:val="decimal"/>
      <w:pStyle w:val="ListNumber4"/>
      <w:lvlText w:val="%1."/>
      <w:lvlJc w:val="left"/>
      <w:pPr>
        <w:tabs>
          <w:tab w:val="num" w:pos="340"/>
        </w:tabs>
        <w:ind w:left="340" w:hanging="340"/>
      </w:pPr>
      <w:rPr>
        <w:rFonts w:hint="default"/>
      </w:rPr>
    </w:lvl>
  </w:abstractNum>
  <w:abstractNum w:abstractNumId="2" w15:restartNumberingAfterBreak="0">
    <w:nsid w:val="FFFFFF7E"/>
    <w:multiLevelType w:val="singleLevel"/>
    <w:tmpl w:val="3DD6848A"/>
    <w:lvl w:ilvl="0">
      <w:start w:val="1"/>
      <w:numFmt w:val="decimal"/>
      <w:pStyle w:val="ListNumber3"/>
      <w:lvlText w:val="%1."/>
      <w:lvlJc w:val="left"/>
      <w:pPr>
        <w:tabs>
          <w:tab w:val="num" w:pos="340"/>
        </w:tabs>
        <w:ind w:left="340" w:hanging="340"/>
      </w:pPr>
      <w:rPr>
        <w:rFonts w:hint="default"/>
      </w:rPr>
    </w:lvl>
  </w:abstractNum>
  <w:abstractNum w:abstractNumId="3" w15:restartNumberingAfterBreak="0">
    <w:nsid w:val="FFFFFF7F"/>
    <w:multiLevelType w:val="singleLevel"/>
    <w:tmpl w:val="61C8C650"/>
    <w:lvl w:ilvl="0">
      <w:start w:val="1"/>
      <w:numFmt w:val="decimal"/>
      <w:pStyle w:val="ListNumber2"/>
      <w:lvlText w:val="%1."/>
      <w:lvlJc w:val="left"/>
      <w:pPr>
        <w:tabs>
          <w:tab w:val="num" w:pos="340"/>
        </w:tabs>
        <w:ind w:left="340" w:hanging="340"/>
      </w:pPr>
      <w:rPr>
        <w:rFonts w:hint="default"/>
      </w:rPr>
    </w:lvl>
  </w:abstractNum>
  <w:abstractNum w:abstractNumId="4" w15:restartNumberingAfterBreak="0">
    <w:nsid w:val="FFFFFF80"/>
    <w:multiLevelType w:val="singleLevel"/>
    <w:tmpl w:val="12CA2504"/>
    <w:lvl w:ilvl="0">
      <w:start w:val="1"/>
      <w:numFmt w:val="bullet"/>
      <w:pStyle w:val="ListBullet5"/>
      <w:lvlText w:val="■"/>
      <w:lvlJc w:val="left"/>
      <w:pPr>
        <w:ind w:left="1492" w:hanging="360"/>
      </w:pPr>
      <w:rPr>
        <w:rFonts w:ascii="Arial" w:hAnsi="Arial" w:hint="default"/>
        <w:color w:val="808080" w:themeColor="background1" w:themeShade="80"/>
      </w:rPr>
    </w:lvl>
  </w:abstractNum>
  <w:abstractNum w:abstractNumId="5" w15:restartNumberingAfterBreak="0">
    <w:nsid w:val="FFFFFF81"/>
    <w:multiLevelType w:val="singleLevel"/>
    <w:tmpl w:val="EF2AB9E8"/>
    <w:lvl w:ilvl="0">
      <w:start w:val="1"/>
      <w:numFmt w:val="bullet"/>
      <w:pStyle w:val="ListBullet4"/>
      <w:lvlText w:val="■"/>
      <w:lvlJc w:val="left"/>
      <w:pPr>
        <w:ind w:left="1209" w:hanging="360"/>
      </w:pPr>
      <w:rPr>
        <w:rFonts w:ascii="Arial" w:hAnsi="Arial" w:hint="default"/>
        <w:color w:val="808080" w:themeColor="background1" w:themeShade="80"/>
      </w:rPr>
    </w:lvl>
  </w:abstractNum>
  <w:abstractNum w:abstractNumId="6" w15:restartNumberingAfterBreak="0">
    <w:nsid w:val="FFFFFF82"/>
    <w:multiLevelType w:val="singleLevel"/>
    <w:tmpl w:val="3788CD2E"/>
    <w:lvl w:ilvl="0">
      <w:start w:val="1"/>
      <w:numFmt w:val="bullet"/>
      <w:pStyle w:val="ListBullet3"/>
      <w:lvlText w:val="■"/>
      <w:lvlJc w:val="left"/>
      <w:pPr>
        <w:ind w:left="926" w:hanging="360"/>
      </w:pPr>
      <w:rPr>
        <w:rFonts w:ascii="Arial" w:hAnsi="Arial" w:hint="default"/>
        <w:color w:val="808080" w:themeColor="background1" w:themeShade="80"/>
      </w:rPr>
    </w:lvl>
  </w:abstractNum>
  <w:abstractNum w:abstractNumId="7" w15:restartNumberingAfterBreak="0">
    <w:nsid w:val="FFFFFF83"/>
    <w:multiLevelType w:val="singleLevel"/>
    <w:tmpl w:val="00261194"/>
    <w:lvl w:ilvl="0">
      <w:start w:val="1"/>
      <w:numFmt w:val="bullet"/>
      <w:pStyle w:val="ListBullet2"/>
      <w:lvlText w:val="■"/>
      <w:lvlJc w:val="left"/>
      <w:pPr>
        <w:ind w:left="643" w:hanging="360"/>
      </w:pPr>
      <w:rPr>
        <w:rFonts w:ascii="Arial" w:hAnsi="Arial" w:hint="default"/>
        <w:color w:val="33CCFF"/>
      </w:rPr>
    </w:lvl>
  </w:abstractNum>
  <w:abstractNum w:abstractNumId="8" w15:restartNumberingAfterBreak="0">
    <w:nsid w:val="FFFFFF88"/>
    <w:multiLevelType w:val="singleLevel"/>
    <w:tmpl w:val="4D564A24"/>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FFFFFF89"/>
    <w:multiLevelType w:val="singleLevel"/>
    <w:tmpl w:val="B7A0E9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5810FC"/>
    <w:multiLevelType w:val="multilevel"/>
    <w:tmpl w:val="62222CF2"/>
    <w:styleLink w:val="PRINumbering"/>
    <w:lvl w:ilvl="0">
      <w:start w:val="1"/>
      <w:numFmt w:val="decimal"/>
      <w:lvlText w:val="%1."/>
      <w:lvlJc w:val="left"/>
      <w:pPr>
        <w:tabs>
          <w:tab w:val="num" w:pos="340"/>
        </w:tabs>
        <w:ind w:left="340" w:hanging="340"/>
      </w:pPr>
      <w:rPr>
        <w:rFonts w:hint="default"/>
      </w:rPr>
    </w:lvl>
    <w:lvl w:ilvl="1">
      <w:start w:val="2"/>
      <w:numFmt w:val="decimal"/>
      <w:lvlText w:val="%2."/>
      <w:lvlJc w:val="left"/>
      <w:pPr>
        <w:tabs>
          <w:tab w:val="num" w:pos="340"/>
        </w:tabs>
        <w:ind w:left="340" w:hanging="340"/>
      </w:pPr>
      <w:rPr>
        <w:rFonts w:ascii="Arial" w:hAnsi="Arial" w:hint="default"/>
      </w:rPr>
    </w:lvl>
    <w:lvl w:ilvl="2">
      <w:start w:val="1"/>
      <w:numFmt w:val="none"/>
      <w:lvlText w:val="3."/>
      <w:lvlJc w:val="left"/>
      <w:pPr>
        <w:tabs>
          <w:tab w:val="num" w:pos="340"/>
        </w:tabs>
        <w:ind w:left="340" w:hanging="340"/>
      </w:pPr>
      <w:rPr>
        <w:rFonts w:hint="default"/>
      </w:rPr>
    </w:lvl>
    <w:lvl w:ilvl="3">
      <w:start w:val="1"/>
      <w:numFmt w:val="none"/>
      <w:lvlText w:val="4."/>
      <w:lvlJc w:val="left"/>
      <w:pPr>
        <w:tabs>
          <w:tab w:val="num" w:pos="340"/>
        </w:tabs>
        <w:ind w:left="340" w:hanging="340"/>
      </w:pPr>
      <w:rPr>
        <w:rFonts w:hint="default"/>
      </w:rPr>
    </w:lvl>
    <w:lvl w:ilvl="4">
      <w:start w:val="1"/>
      <w:numFmt w:val="none"/>
      <w:lvlText w:val="5."/>
      <w:lvlJc w:val="left"/>
      <w:pPr>
        <w:tabs>
          <w:tab w:val="num" w:pos="340"/>
        </w:tabs>
        <w:ind w:left="340" w:hanging="340"/>
      </w:pPr>
      <w:rPr>
        <w:rFonts w:hint="default"/>
      </w:rPr>
    </w:lvl>
    <w:lvl w:ilvl="5">
      <w:start w:val="1"/>
      <w:numFmt w:val="none"/>
      <w:lvlText w:val="6."/>
      <w:lvlJc w:val="left"/>
      <w:pPr>
        <w:tabs>
          <w:tab w:val="num" w:pos="340"/>
        </w:tabs>
        <w:ind w:left="340" w:hanging="340"/>
      </w:pPr>
      <w:rPr>
        <w:rFonts w:hint="default"/>
      </w:rPr>
    </w:lvl>
    <w:lvl w:ilvl="6">
      <w:start w:val="1"/>
      <w:numFmt w:val="none"/>
      <w:lvlText w:val="7."/>
      <w:lvlJc w:val="left"/>
      <w:pPr>
        <w:tabs>
          <w:tab w:val="num" w:pos="340"/>
        </w:tabs>
        <w:ind w:left="340" w:hanging="340"/>
      </w:pPr>
      <w:rPr>
        <w:rFonts w:hint="default"/>
      </w:rPr>
    </w:lvl>
    <w:lvl w:ilvl="7">
      <w:start w:val="1"/>
      <w:numFmt w:val="none"/>
      <w:lvlText w:val="8."/>
      <w:lvlJc w:val="left"/>
      <w:pPr>
        <w:tabs>
          <w:tab w:val="num" w:pos="340"/>
        </w:tabs>
        <w:ind w:left="340" w:hanging="340"/>
      </w:pPr>
      <w:rPr>
        <w:rFonts w:hint="default"/>
      </w:rPr>
    </w:lvl>
    <w:lvl w:ilvl="8">
      <w:start w:val="1"/>
      <w:numFmt w:val="none"/>
      <w:lvlText w:val="9."/>
      <w:lvlJc w:val="left"/>
      <w:pPr>
        <w:tabs>
          <w:tab w:val="num" w:pos="340"/>
        </w:tabs>
        <w:ind w:left="340" w:hanging="340"/>
      </w:pPr>
      <w:rPr>
        <w:rFonts w:hint="default"/>
      </w:rPr>
    </w:lvl>
  </w:abstractNum>
  <w:abstractNum w:abstractNumId="11" w15:restartNumberingAfterBreak="0">
    <w:nsid w:val="0E4F1380"/>
    <w:multiLevelType w:val="hybridMultilevel"/>
    <w:tmpl w:val="9C04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7A5378"/>
    <w:multiLevelType w:val="hybridMultilevel"/>
    <w:tmpl w:val="83D0616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1D0CEA"/>
    <w:multiLevelType w:val="multilevel"/>
    <w:tmpl w:val="9A0E96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2BF04415"/>
    <w:multiLevelType w:val="hybridMultilevel"/>
    <w:tmpl w:val="14C6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95619"/>
    <w:multiLevelType w:val="hybridMultilevel"/>
    <w:tmpl w:val="A7BC4D54"/>
    <w:lvl w:ilvl="0" w:tplc="8BEEC378">
      <w:start w:val="1"/>
      <w:numFmt w:val="bullet"/>
      <w:pStyle w:val="ListBullet"/>
      <w:lvlText w:val="■"/>
      <w:lvlJc w:val="left"/>
      <w:pPr>
        <w:ind w:left="720" w:hanging="360"/>
      </w:pPr>
      <w:rPr>
        <w:rFonts w:ascii="Arial" w:hAnsi="Aria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0D2EC3"/>
    <w:multiLevelType w:val="hybridMultilevel"/>
    <w:tmpl w:val="4C46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B31B93"/>
    <w:multiLevelType w:val="multilevel"/>
    <w:tmpl w:val="D83E44F4"/>
    <w:styleLink w:val="prilist"/>
    <w:lvl w:ilvl="0">
      <w:start w:val="1"/>
      <w:numFmt w:val="bullet"/>
      <w:lvlText w:val="■"/>
      <w:lvlJc w:val="left"/>
      <w:pPr>
        <w:ind w:left="360" w:hanging="360"/>
      </w:pPr>
      <w:rPr>
        <w:rFonts w:ascii="Arial" w:hAnsi="Arial" w:hint="default"/>
        <w:color w:val="0070C0"/>
      </w:rPr>
    </w:lvl>
    <w:lvl w:ilvl="1">
      <w:start w:val="1"/>
      <w:numFmt w:val="bullet"/>
      <w:lvlText w:val="■"/>
      <w:lvlJc w:val="left"/>
      <w:pPr>
        <w:ind w:left="1080" w:hanging="360"/>
      </w:pPr>
      <w:rPr>
        <w:rFonts w:ascii="Arial" w:hAnsi="Arial" w:hint="default"/>
        <w:color w:val="00B0F0"/>
      </w:rPr>
    </w:lvl>
    <w:lvl w:ilvl="2">
      <w:start w:val="1"/>
      <w:numFmt w:val="bullet"/>
      <w:lvlText w:val="■"/>
      <w:lvlJc w:val="left"/>
      <w:pPr>
        <w:ind w:left="1800" w:hanging="360"/>
      </w:pPr>
      <w:rPr>
        <w:rFonts w:ascii="Arial" w:hAnsi="Arial" w:hint="default"/>
        <w:color w:val="808080" w:themeColor="background1" w:themeShade="80"/>
      </w:rPr>
    </w:lvl>
    <w:lvl w:ilvl="3">
      <w:start w:val="1"/>
      <w:numFmt w:val="bullet"/>
      <w:lvlText w:val="■"/>
      <w:lvlJc w:val="left"/>
      <w:pPr>
        <w:ind w:left="2520" w:hanging="360"/>
      </w:pPr>
      <w:rPr>
        <w:rFonts w:ascii="Arial" w:hAnsi="Arial" w:hint="default"/>
        <w:color w:val="808080" w:themeColor="background1" w:themeShade="80"/>
      </w:rPr>
    </w:lvl>
    <w:lvl w:ilvl="4">
      <w:start w:val="1"/>
      <w:numFmt w:val="bullet"/>
      <w:lvlText w:val="■"/>
      <w:lvlJc w:val="left"/>
      <w:pPr>
        <w:ind w:left="3600" w:hanging="360"/>
      </w:pPr>
      <w:rPr>
        <w:rFonts w:ascii="Arial" w:hAnsi="Arial" w:hint="default"/>
        <w:color w:val="808080" w:themeColor="background1" w:themeShade="8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B30082F"/>
    <w:multiLevelType w:val="multilevel"/>
    <w:tmpl w:val="D83E44F4"/>
    <w:numStyleLink w:val="prilist"/>
  </w:abstractNum>
  <w:abstractNum w:abstractNumId="19" w15:restartNumberingAfterBreak="0">
    <w:nsid w:val="646B2719"/>
    <w:multiLevelType w:val="hybridMultilevel"/>
    <w:tmpl w:val="2B08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85512C"/>
    <w:multiLevelType w:val="multilevel"/>
    <w:tmpl w:val="D83E44F4"/>
    <w:numStyleLink w:val="prilist"/>
  </w:abstractNum>
  <w:abstractNum w:abstractNumId="21" w15:restartNumberingAfterBreak="0">
    <w:nsid w:val="77EE367E"/>
    <w:multiLevelType w:val="multilevel"/>
    <w:tmpl w:val="D83E44F4"/>
    <w:numStyleLink w:val="prilist"/>
  </w:abstractNum>
  <w:abstractNum w:abstractNumId="22" w15:restartNumberingAfterBreak="0">
    <w:nsid w:val="78E714BC"/>
    <w:multiLevelType w:val="multilevel"/>
    <w:tmpl w:val="D83E44F4"/>
    <w:numStyleLink w:val="prilist"/>
  </w:abstractNum>
  <w:abstractNum w:abstractNumId="23" w15:restartNumberingAfterBreak="0">
    <w:nsid w:val="7D003C1D"/>
    <w:multiLevelType w:val="hybridMultilevel"/>
    <w:tmpl w:val="C7602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10"/>
  </w:num>
  <w:num w:numId="7">
    <w:abstractNumId w:val="7"/>
  </w:num>
  <w:num w:numId="8">
    <w:abstractNumId w:val="6"/>
  </w:num>
  <w:num w:numId="9">
    <w:abstractNumId w:val="5"/>
  </w:num>
  <w:num w:numId="10">
    <w:abstractNumId w:val="4"/>
  </w:num>
  <w:num w:numId="11">
    <w:abstractNumId w:val="17"/>
  </w:num>
  <w:num w:numId="12">
    <w:abstractNumId w:val="15"/>
  </w:num>
  <w:num w:numId="13">
    <w:abstractNumId w:val="22"/>
  </w:num>
  <w:num w:numId="14">
    <w:abstractNumId w:val="16"/>
  </w:num>
  <w:num w:numId="15">
    <w:abstractNumId w:val="20"/>
  </w:num>
  <w:num w:numId="16">
    <w:abstractNumId w:val="18"/>
  </w:num>
  <w:num w:numId="17">
    <w:abstractNumId w:val="21"/>
  </w:num>
  <w:num w:numId="18">
    <w:abstractNumId w:val="13"/>
  </w:num>
  <w:num w:numId="19">
    <w:abstractNumId w:val="23"/>
  </w:num>
  <w:num w:numId="20">
    <w:abstractNumId w:val="19"/>
  </w:num>
  <w:num w:numId="21">
    <w:abstractNumId w:val="11"/>
  </w:num>
  <w:num w:numId="22">
    <w:abstractNumId w:val="12"/>
  </w:num>
  <w:num w:numId="23">
    <w:abstractNumId w:val="14"/>
  </w:num>
  <w:num w:numId="2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US" w:vendorID="64" w:dllVersion="0" w:nlCheck="1" w:checkStyle="1"/>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gASRoZGpmYWBgbmJko6SsGpxcWZ+XkgBYa1APjKWlMsAAAA"/>
  </w:docVars>
  <w:rsids>
    <w:rsidRoot w:val="000067F7"/>
    <w:rsid w:val="000067F7"/>
    <w:rsid w:val="00007066"/>
    <w:rsid w:val="00014D77"/>
    <w:rsid w:val="0001652E"/>
    <w:rsid w:val="00026F2D"/>
    <w:rsid w:val="00031582"/>
    <w:rsid w:val="00040845"/>
    <w:rsid w:val="00065204"/>
    <w:rsid w:val="000672B9"/>
    <w:rsid w:val="000716A8"/>
    <w:rsid w:val="0008240C"/>
    <w:rsid w:val="000928CB"/>
    <w:rsid w:val="0009574D"/>
    <w:rsid w:val="00095AFB"/>
    <w:rsid w:val="00097487"/>
    <w:rsid w:val="000A68E6"/>
    <w:rsid w:val="000B38B4"/>
    <w:rsid w:val="000B4E3D"/>
    <w:rsid w:val="000C1CF6"/>
    <w:rsid w:val="000D4C73"/>
    <w:rsid w:val="000E7892"/>
    <w:rsid w:val="000F2160"/>
    <w:rsid w:val="001111E3"/>
    <w:rsid w:val="001229B2"/>
    <w:rsid w:val="00122C1E"/>
    <w:rsid w:val="0013186A"/>
    <w:rsid w:val="00133A8B"/>
    <w:rsid w:val="00141367"/>
    <w:rsid w:val="001513E7"/>
    <w:rsid w:val="00151F9C"/>
    <w:rsid w:val="00153870"/>
    <w:rsid w:val="001654AE"/>
    <w:rsid w:val="00172341"/>
    <w:rsid w:val="00172A7E"/>
    <w:rsid w:val="0018429F"/>
    <w:rsid w:val="00185FE1"/>
    <w:rsid w:val="00192DC9"/>
    <w:rsid w:val="00196BD9"/>
    <w:rsid w:val="001B603A"/>
    <w:rsid w:val="001B70E3"/>
    <w:rsid w:val="001C1A4D"/>
    <w:rsid w:val="001C50D0"/>
    <w:rsid w:val="001D397A"/>
    <w:rsid w:val="001D4CA4"/>
    <w:rsid w:val="001E1802"/>
    <w:rsid w:val="001F414E"/>
    <w:rsid w:val="00213767"/>
    <w:rsid w:val="00222315"/>
    <w:rsid w:val="00224ADE"/>
    <w:rsid w:val="00232104"/>
    <w:rsid w:val="002335F4"/>
    <w:rsid w:val="002374F4"/>
    <w:rsid w:val="00240D2F"/>
    <w:rsid w:val="0026118A"/>
    <w:rsid w:val="00262FB0"/>
    <w:rsid w:val="00283CEE"/>
    <w:rsid w:val="002932D9"/>
    <w:rsid w:val="002975B6"/>
    <w:rsid w:val="002B09F8"/>
    <w:rsid w:val="002B7ACA"/>
    <w:rsid w:val="002C3F9A"/>
    <w:rsid w:val="002C4CE0"/>
    <w:rsid w:val="002C4EA5"/>
    <w:rsid w:val="002C6BDF"/>
    <w:rsid w:val="003001D7"/>
    <w:rsid w:val="00300D0B"/>
    <w:rsid w:val="00304A6F"/>
    <w:rsid w:val="00307DA1"/>
    <w:rsid w:val="00312FF9"/>
    <w:rsid w:val="0031452A"/>
    <w:rsid w:val="003166AD"/>
    <w:rsid w:val="0032319F"/>
    <w:rsid w:val="00324205"/>
    <w:rsid w:val="00327210"/>
    <w:rsid w:val="00327660"/>
    <w:rsid w:val="0033550C"/>
    <w:rsid w:val="00335CFB"/>
    <w:rsid w:val="003513E0"/>
    <w:rsid w:val="003551BB"/>
    <w:rsid w:val="003712FF"/>
    <w:rsid w:val="00376D22"/>
    <w:rsid w:val="00381234"/>
    <w:rsid w:val="0038227C"/>
    <w:rsid w:val="00382588"/>
    <w:rsid w:val="0038376B"/>
    <w:rsid w:val="0038499E"/>
    <w:rsid w:val="00392F70"/>
    <w:rsid w:val="0039671F"/>
    <w:rsid w:val="003A0BDD"/>
    <w:rsid w:val="003A4263"/>
    <w:rsid w:val="003B5C38"/>
    <w:rsid w:val="003B666A"/>
    <w:rsid w:val="003C2628"/>
    <w:rsid w:val="003C5837"/>
    <w:rsid w:val="003D24C0"/>
    <w:rsid w:val="003D6177"/>
    <w:rsid w:val="003F6761"/>
    <w:rsid w:val="00400805"/>
    <w:rsid w:val="00411097"/>
    <w:rsid w:val="00424902"/>
    <w:rsid w:val="00425231"/>
    <w:rsid w:val="004364AE"/>
    <w:rsid w:val="004365B1"/>
    <w:rsid w:val="00445A62"/>
    <w:rsid w:val="0045739C"/>
    <w:rsid w:val="00470987"/>
    <w:rsid w:val="00495D32"/>
    <w:rsid w:val="004A21F4"/>
    <w:rsid w:val="004A47D7"/>
    <w:rsid w:val="004B0994"/>
    <w:rsid w:val="004B406A"/>
    <w:rsid w:val="004C43E2"/>
    <w:rsid w:val="004C5458"/>
    <w:rsid w:val="004D154E"/>
    <w:rsid w:val="004F50E9"/>
    <w:rsid w:val="00522FDC"/>
    <w:rsid w:val="00531FF0"/>
    <w:rsid w:val="005358AA"/>
    <w:rsid w:val="00536E31"/>
    <w:rsid w:val="0053710B"/>
    <w:rsid w:val="005467F8"/>
    <w:rsid w:val="00571A89"/>
    <w:rsid w:val="005827D1"/>
    <w:rsid w:val="00593A21"/>
    <w:rsid w:val="005A3DB9"/>
    <w:rsid w:val="005B584F"/>
    <w:rsid w:val="005B7A27"/>
    <w:rsid w:val="005C27FC"/>
    <w:rsid w:val="005D0D22"/>
    <w:rsid w:val="005D1831"/>
    <w:rsid w:val="005D32D9"/>
    <w:rsid w:val="005E4032"/>
    <w:rsid w:val="005E6D3A"/>
    <w:rsid w:val="005F5F59"/>
    <w:rsid w:val="005F7FBB"/>
    <w:rsid w:val="00611DBC"/>
    <w:rsid w:val="00614CFF"/>
    <w:rsid w:val="006308F4"/>
    <w:rsid w:val="0063565D"/>
    <w:rsid w:val="00636E2F"/>
    <w:rsid w:val="00644696"/>
    <w:rsid w:val="00652786"/>
    <w:rsid w:val="00656960"/>
    <w:rsid w:val="006603D5"/>
    <w:rsid w:val="006607A4"/>
    <w:rsid w:val="0066596D"/>
    <w:rsid w:val="00671171"/>
    <w:rsid w:val="00676382"/>
    <w:rsid w:val="006800AF"/>
    <w:rsid w:val="006877A4"/>
    <w:rsid w:val="00692CFF"/>
    <w:rsid w:val="0069437C"/>
    <w:rsid w:val="006A08BA"/>
    <w:rsid w:val="006A0D2C"/>
    <w:rsid w:val="006A6CD7"/>
    <w:rsid w:val="006C1B37"/>
    <w:rsid w:val="006D0439"/>
    <w:rsid w:val="006F1662"/>
    <w:rsid w:val="0071094E"/>
    <w:rsid w:val="00710A7C"/>
    <w:rsid w:val="00713E58"/>
    <w:rsid w:val="00714348"/>
    <w:rsid w:val="007258DC"/>
    <w:rsid w:val="00733715"/>
    <w:rsid w:val="0077467F"/>
    <w:rsid w:val="00794B24"/>
    <w:rsid w:val="00797F67"/>
    <w:rsid w:val="007B4F8B"/>
    <w:rsid w:val="007C0E59"/>
    <w:rsid w:val="007C43C6"/>
    <w:rsid w:val="007C7F98"/>
    <w:rsid w:val="007F27B4"/>
    <w:rsid w:val="007F4BB6"/>
    <w:rsid w:val="007F75EE"/>
    <w:rsid w:val="00802724"/>
    <w:rsid w:val="00802F58"/>
    <w:rsid w:val="00805EE5"/>
    <w:rsid w:val="00814307"/>
    <w:rsid w:val="0082025E"/>
    <w:rsid w:val="008215F6"/>
    <w:rsid w:val="008317D9"/>
    <w:rsid w:val="00842AA6"/>
    <w:rsid w:val="008669CF"/>
    <w:rsid w:val="008765D3"/>
    <w:rsid w:val="00890036"/>
    <w:rsid w:val="008957A6"/>
    <w:rsid w:val="008A2D5D"/>
    <w:rsid w:val="008A6A7C"/>
    <w:rsid w:val="008A7016"/>
    <w:rsid w:val="008A763A"/>
    <w:rsid w:val="008D1D7E"/>
    <w:rsid w:val="008E11CA"/>
    <w:rsid w:val="008E30D9"/>
    <w:rsid w:val="008F7868"/>
    <w:rsid w:val="0090100B"/>
    <w:rsid w:val="009153B6"/>
    <w:rsid w:val="009171D0"/>
    <w:rsid w:val="0092732C"/>
    <w:rsid w:val="00936049"/>
    <w:rsid w:val="00936083"/>
    <w:rsid w:val="00941778"/>
    <w:rsid w:val="00957824"/>
    <w:rsid w:val="009673ED"/>
    <w:rsid w:val="0097565A"/>
    <w:rsid w:val="0098553C"/>
    <w:rsid w:val="009B6B53"/>
    <w:rsid w:val="009D0A56"/>
    <w:rsid w:val="009E1B5C"/>
    <w:rsid w:val="009E3132"/>
    <w:rsid w:val="009E3D87"/>
    <w:rsid w:val="009E69D4"/>
    <w:rsid w:val="009F03F0"/>
    <w:rsid w:val="009F0EC1"/>
    <w:rsid w:val="009F5A5C"/>
    <w:rsid w:val="009F7430"/>
    <w:rsid w:val="00A006C1"/>
    <w:rsid w:val="00A02A30"/>
    <w:rsid w:val="00A06AE0"/>
    <w:rsid w:val="00A103A2"/>
    <w:rsid w:val="00A10BA3"/>
    <w:rsid w:val="00A10BB3"/>
    <w:rsid w:val="00A22457"/>
    <w:rsid w:val="00A35E4C"/>
    <w:rsid w:val="00A458EF"/>
    <w:rsid w:val="00A54354"/>
    <w:rsid w:val="00A57816"/>
    <w:rsid w:val="00A63E5B"/>
    <w:rsid w:val="00A66730"/>
    <w:rsid w:val="00A7050D"/>
    <w:rsid w:val="00A71E37"/>
    <w:rsid w:val="00A96AE2"/>
    <w:rsid w:val="00A96E7C"/>
    <w:rsid w:val="00AA1016"/>
    <w:rsid w:val="00AA256B"/>
    <w:rsid w:val="00AA4575"/>
    <w:rsid w:val="00AA4F37"/>
    <w:rsid w:val="00AB5014"/>
    <w:rsid w:val="00AB69B0"/>
    <w:rsid w:val="00AB750E"/>
    <w:rsid w:val="00AC3297"/>
    <w:rsid w:val="00AC3A5A"/>
    <w:rsid w:val="00AD4050"/>
    <w:rsid w:val="00AD46AF"/>
    <w:rsid w:val="00AD65E1"/>
    <w:rsid w:val="00AF48D6"/>
    <w:rsid w:val="00AF5D38"/>
    <w:rsid w:val="00B02D84"/>
    <w:rsid w:val="00B0398B"/>
    <w:rsid w:val="00B077C7"/>
    <w:rsid w:val="00B1361C"/>
    <w:rsid w:val="00B164E1"/>
    <w:rsid w:val="00B31EF0"/>
    <w:rsid w:val="00B42CCF"/>
    <w:rsid w:val="00B50261"/>
    <w:rsid w:val="00B51B2F"/>
    <w:rsid w:val="00B55516"/>
    <w:rsid w:val="00B56DDF"/>
    <w:rsid w:val="00B57F3D"/>
    <w:rsid w:val="00B60221"/>
    <w:rsid w:val="00B60A89"/>
    <w:rsid w:val="00B74559"/>
    <w:rsid w:val="00BA55C3"/>
    <w:rsid w:val="00BB248A"/>
    <w:rsid w:val="00BB25D9"/>
    <w:rsid w:val="00BC5C02"/>
    <w:rsid w:val="00BC79B8"/>
    <w:rsid w:val="00BE77E6"/>
    <w:rsid w:val="00C015D6"/>
    <w:rsid w:val="00C01957"/>
    <w:rsid w:val="00C032DE"/>
    <w:rsid w:val="00C12AD3"/>
    <w:rsid w:val="00C15E94"/>
    <w:rsid w:val="00C20712"/>
    <w:rsid w:val="00C229DA"/>
    <w:rsid w:val="00C24CC1"/>
    <w:rsid w:val="00C24CDE"/>
    <w:rsid w:val="00C27EA5"/>
    <w:rsid w:val="00C45591"/>
    <w:rsid w:val="00C65993"/>
    <w:rsid w:val="00C75DEE"/>
    <w:rsid w:val="00C8123B"/>
    <w:rsid w:val="00C815E6"/>
    <w:rsid w:val="00C81827"/>
    <w:rsid w:val="00C839E4"/>
    <w:rsid w:val="00C867A7"/>
    <w:rsid w:val="00C87199"/>
    <w:rsid w:val="00C916FE"/>
    <w:rsid w:val="00C92529"/>
    <w:rsid w:val="00CA6067"/>
    <w:rsid w:val="00CA7EDB"/>
    <w:rsid w:val="00CC6090"/>
    <w:rsid w:val="00CD3D0F"/>
    <w:rsid w:val="00CD3E62"/>
    <w:rsid w:val="00CD5A2A"/>
    <w:rsid w:val="00CE000A"/>
    <w:rsid w:val="00CE45A7"/>
    <w:rsid w:val="00CE7FB1"/>
    <w:rsid w:val="00D02407"/>
    <w:rsid w:val="00D06810"/>
    <w:rsid w:val="00D22BFD"/>
    <w:rsid w:val="00D25095"/>
    <w:rsid w:val="00D25F41"/>
    <w:rsid w:val="00D30BA3"/>
    <w:rsid w:val="00D44B8F"/>
    <w:rsid w:val="00D50900"/>
    <w:rsid w:val="00D63190"/>
    <w:rsid w:val="00D727F8"/>
    <w:rsid w:val="00D7410A"/>
    <w:rsid w:val="00D7512E"/>
    <w:rsid w:val="00D84298"/>
    <w:rsid w:val="00D8486B"/>
    <w:rsid w:val="00D901A2"/>
    <w:rsid w:val="00D92EC5"/>
    <w:rsid w:val="00D94CAE"/>
    <w:rsid w:val="00DB0C38"/>
    <w:rsid w:val="00DB3C63"/>
    <w:rsid w:val="00DD0D57"/>
    <w:rsid w:val="00DD643B"/>
    <w:rsid w:val="00DE0205"/>
    <w:rsid w:val="00DF453C"/>
    <w:rsid w:val="00DF5F8A"/>
    <w:rsid w:val="00E07FB3"/>
    <w:rsid w:val="00E23780"/>
    <w:rsid w:val="00E24053"/>
    <w:rsid w:val="00E47371"/>
    <w:rsid w:val="00E51907"/>
    <w:rsid w:val="00E56400"/>
    <w:rsid w:val="00E63662"/>
    <w:rsid w:val="00E7149C"/>
    <w:rsid w:val="00E735EA"/>
    <w:rsid w:val="00E94836"/>
    <w:rsid w:val="00E966DD"/>
    <w:rsid w:val="00EA097C"/>
    <w:rsid w:val="00EA1C63"/>
    <w:rsid w:val="00EA2CA7"/>
    <w:rsid w:val="00EB0F88"/>
    <w:rsid w:val="00EB4D1C"/>
    <w:rsid w:val="00EB5B2E"/>
    <w:rsid w:val="00EB7CCA"/>
    <w:rsid w:val="00EC0BAF"/>
    <w:rsid w:val="00EC1443"/>
    <w:rsid w:val="00EC399F"/>
    <w:rsid w:val="00EC5CD6"/>
    <w:rsid w:val="00EC71FC"/>
    <w:rsid w:val="00ED2A22"/>
    <w:rsid w:val="00ED7E46"/>
    <w:rsid w:val="00EF16A7"/>
    <w:rsid w:val="00EF3AE7"/>
    <w:rsid w:val="00F0250D"/>
    <w:rsid w:val="00F02E05"/>
    <w:rsid w:val="00F1156D"/>
    <w:rsid w:val="00F1309A"/>
    <w:rsid w:val="00F13D1F"/>
    <w:rsid w:val="00F14FE0"/>
    <w:rsid w:val="00F15BB6"/>
    <w:rsid w:val="00F209B5"/>
    <w:rsid w:val="00F35021"/>
    <w:rsid w:val="00F52AC9"/>
    <w:rsid w:val="00F75E48"/>
    <w:rsid w:val="00F812F6"/>
    <w:rsid w:val="00FA0BF8"/>
    <w:rsid w:val="00FA4069"/>
    <w:rsid w:val="00FB0633"/>
    <w:rsid w:val="00FC1200"/>
    <w:rsid w:val="00FD3B85"/>
    <w:rsid w:val="00FD4989"/>
    <w:rsid w:val="00FD4B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24C525"/>
  <w15:docId w15:val="{89D2EC2E-965C-402E-9188-BC03BA35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PGothic" w:hAnsi="Arial" w:cs="Times New Roman"/>
        <w:lang w:val="en-GB" w:eastAsia="en-US" w:bidi="ar-SA"/>
      </w:rPr>
    </w:rPrDefault>
    <w:pPrDefault>
      <w:pPr>
        <w:spacing w:line="312" w:lineRule="auto"/>
        <w:ind w:left="357" w:hanging="357"/>
      </w:pPr>
    </w:pPrDefault>
  </w:docDefaults>
  <w:latentStyles w:defLockedState="0" w:defUIPriority="99" w:defSemiHidden="0" w:defUnhideWhenUsed="0" w:defQFormat="0" w:count="377">
    <w:lsdException w:name="Normal" w:uiPriority="5"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9" w:unhideWhenUsed="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PRI Body"/>
    <w:uiPriority w:val="5"/>
    <w:qFormat/>
    <w:rsid w:val="004365B1"/>
    <w:pPr>
      <w:ind w:left="0" w:firstLine="0"/>
    </w:pPr>
  </w:style>
  <w:style w:type="paragraph" w:styleId="Heading1">
    <w:name w:val="heading 1"/>
    <w:aliases w:val="PRI Heading 1"/>
    <w:basedOn w:val="Normal"/>
    <w:next w:val="Normal"/>
    <w:link w:val="Heading1Char"/>
    <w:uiPriority w:val="1"/>
    <w:rsid w:val="001654AE"/>
    <w:pPr>
      <w:spacing w:before="360"/>
      <w:outlineLvl w:val="0"/>
    </w:pPr>
    <w:rPr>
      <w:b/>
      <w:color w:val="0050A6"/>
      <w:sz w:val="32"/>
      <w:szCs w:val="36"/>
    </w:rPr>
  </w:style>
  <w:style w:type="paragraph" w:styleId="Heading2">
    <w:name w:val="heading 2"/>
    <w:aliases w:val="PRI Heading 2"/>
    <w:basedOn w:val="Normal"/>
    <w:next w:val="Normal"/>
    <w:link w:val="Heading2Char"/>
    <w:uiPriority w:val="2"/>
    <w:unhideWhenUsed/>
    <w:qFormat/>
    <w:rsid w:val="0008240C"/>
    <w:pPr>
      <w:spacing w:before="480"/>
      <w:outlineLvl w:val="1"/>
    </w:pPr>
    <w:rPr>
      <w:b/>
      <w:bCs/>
      <w:caps/>
      <w:color w:val="00B0F0"/>
      <w:sz w:val="30"/>
      <w:szCs w:val="28"/>
    </w:rPr>
  </w:style>
  <w:style w:type="paragraph" w:styleId="Heading3">
    <w:name w:val="heading 3"/>
    <w:aliases w:val="PRI Heading 3"/>
    <w:basedOn w:val="Normal"/>
    <w:next w:val="Normal"/>
    <w:link w:val="Heading3Char"/>
    <w:uiPriority w:val="3"/>
    <w:unhideWhenUsed/>
    <w:qFormat/>
    <w:rsid w:val="0008240C"/>
    <w:pPr>
      <w:outlineLvl w:val="2"/>
    </w:pPr>
    <w:rPr>
      <w:b/>
      <w:bCs/>
      <w:caps/>
      <w:color w:val="008CD0"/>
      <w:sz w:val="24"/>
      <w:szCs w:val="24"/>
    </w:rPr>
  </w:style>
  <w:style w:type="paragraph" w:styleId="Heading4">
    <w:name w:val="heading 4"/>
    <w:aliases w:val="PRI Heading 4"/>
    <w:basedOn w:val="Normal"/>
    <w:next w:val="Normal"/>
    <w:link w:val="Heading4Char"/>
    <w:uiPriority w:val="4"/>
    <w:unhideWhenUsed/>
    <w:qFormat/>
    <w:rsid w:val="0008240C"/>
    <w:pPr>
      <w:outlineLvl w:val="3"/>
    </w:pPr>
    <w:rPr>
      <w:b/>
      <w:b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8EF"/>
    <w:pPr>
      <w:tabs>
        <w:tab w:val="center" w:pos="4320"/>
        <w:tab w:val="right" w:pos="8640"/>
      </w:tabs>
    </w:pPr>
  </w:style>
  <w:style w:type="character" w:customStyle="1" w:styleId="HeaderChar">
    <w:name w:val="Header Char"/>
    <w:basedOn w:val="DefaultParagraphFont"/>
    <w:link w:val="Header"/>
    <w:uiPriority w:val="99"/>
    <w:rsid w:val="00A458EF"/>
  </w:style>
  <w:style w:type="paragraph" w:styleId="Footer">
    <w:name w:val="footer"/>
    <w:basedOn w:val="Normal"/>
    <w:link w:val="FooterChar"/>
    <w:uiPriority w:val="99"/>
    <w:unhideWhenUsed/>
    <w:rsid w:val="00A458EF"/>
    <w:pPr>
      <w:tabs>
        <w:tab w:val="center" w:pos="4320"/>
        <w:tab w:val="right" w:pos="8640"/>
      </w:tabs>
    </w:pPr>
  </w:style>
  <w:style w:type="character" w:customStyle="1" w:styleId="FooterChar">
    <w:name w:val="Footer Char"/>
    <w:basedOn w:val="DefaultParagraphFont"/>
    <w:link w:val="Footer"/>
    <w:uiPriority w:val="99"/>
    <w:rsid w:val="00A458EF"/>
  </w:style>
  <w:style w:type="paragraph" w:styleId="ListBullet">
    <w:name w:val="List Bullet"/>
    <w:basedOn w:val="Normal"/>
    <w:uiPriority w:val="6"/>
    <w:qFormat/>
    <w:rsid w:val="00A66730"/>
    <w:pPr>
      <w:numPr>
        <w:numId w:val="12"/>
      </w:numPr>
      <w:ind w:left="357" w:hanging="357"/>
    </w:pPr>
  </w:style>
  <w:style w:type="character" w:customStyle="1" w:styleId="Heading1Char">
    <w:name w:val="Heading 1 Char"/>
    <w:aliases w:val="PRI Heading 1 Char"/>
    <w:basedOn w:val="DefaultParagraphFont"/>
    <w:link w:val="Heading1"/>
    <w:uiPriority w:val="1"/>
    <w:rsid w:val="001654AE"/>
    <w:rPr>
      <w:rFonts w:ascii="Arial" w:hAnsi="Arial" w:cs="Arial"/>
      <w:b/>
      <w:color w:val="0050A6"/>
      <w:sz w:val="32"/>
      <w:szCs w:val="36"/>
    </w:rPr>
  </w:style>
  <w:style w:type="character" w:customStyle="1" w:styleId="Heading2Char">
    <w:name w:val="Heading 2 Char"/>
    <w:aliases w:val="PRI Heading 2 Char"/>
    <w:basedOn w:val="DefaultParagraphFont"/>
    <w:link w:val="Heading2"/>
    <w:uiPriority w:val="2"/>
    <w:rsid w:val="0008240C"/>
    <w:rPr>
      <w:b/>
      <w:bCs/>
      <w:caps/>
      <w:color w:val="00B0F0"/>
      <w:sz w:val="30"/>
      <w:szCs w:val="28"/>
    </w:rPr>
  </w:style>
  <w:style w:type="character" w:customStyle="1" w:styleId="Heading3Char">
    <w:name w:val="Heading 3 Char"/>
    <w:aliases w:val="PRI Heading 3 Char"/>
    <w:basedOn w:val="DefaultParagraphFont"/>
    <w:link w:val="Heading3"/>
    <w:uiPriority w:val="3"/>
    <w:rsid w:val="0008240C"/>
    <w:rPr>
      <w:b/>
      <w:bCs/>
      <w:caps/>
      <w:color w:val="008CD0"/>
      <w:sz w:val="24"/>
      <w:szCs w:val="24"/>
    </w:rPr>
  </w:style>
  <w:style w:type="character" w:customStyle="1" w:styleId="Heading4Char">
    <w:name w:val="Heading 4 Char"/>
    <w:aliases w:val="PRI Heading 4 Char"/>
    <w:basedOn w:val="DefaultParagraphFont"/>
    <w:link w:val="Heading4"/>
    <w:uiPriority w:val="4"/>
    <w:rsid w:val="0008240C"/>
    <w:rPr>
      <w:b/>
      <w:bCs/>
      <w:color w:val="000000" w:themeColor="text1"/>
      <w:szCs w:val="24"/>
    </w:rPr>
  </w:style>
  <w:style w:type="paragraph" w:styleId="Title">
    <w:name w:val="Title"/>
    <w:aliases w:val="PRI Title"/>
    <w:basedOn w:val="Normal"/>
    <w:next w:val="Normal"/>
    <w:link w:val="TitleChar"/>
    <w:qFormat/>
    <w:rsid w:val="0008240C"/>
    <w:pPr>
      <w:pBdr>
        <w:bottom w:val="single" w:sz="4" w:space="1" w:color="0070C0"/>
      </w:pBdr>
      <w:spacing w:before="1600" w:after="420"/>
    </w:pPr>
    <w:rPr>
      <w:caps/>
      <w:color w:val="0050A6"/>
      <w:sz w:val="48"/>
      <w:szCs w:val="56"/>
    </w:rPr>
  </w:style>
  <w:style w:type="character" w:customStyle="1" w:styleId="TitleChar">
    <w:name w:val="Title Char"/>
    <w:aliases w:val="PRI Title Char"/>
    <w:basedOn w:val="DefaultParagraphFont"/>
    <w:link w:val="Title"/>
    <w:rsid w:val="0008240C"/>
    <w:rPr>
      <w:caps/>
      <w:color w:val="0050A6"/>
      <w:sz w:val="48"/>
      <w:szCs w:val="56"/>
    </w:rPr>
  </w:style>
  <w:style w:type="paragraph" w:styleId="Quote">
    <w:name w:val="Quote"/>
    <w:aliases w:val="PRI Quote"/>
    <w:basedOn w:val="Normal"/>
    <w:next w:val="Normal"/>
    <w:link w:val="QuoteChar"/>
    <w:uiPriority w:val="7"/>
    <w:qFormat/>
    <w:rsid w:val="0026118A"/>
    <w:pPr>
      <w:spacing w:before="240" w:after="240"/>
    </w:pPr>
    <w:rPr>
      <w:color w:val="808080" w:themeColor="background1" w:themeShade="80"/>
      <w:sz w:val="32"/>
    </w:rPr>
  </w:style>
  <w:style w:type="character" w:customStyle="1" w:styleId="QuoteChar">
    <w:name w:val="Quote Char"/>
    <w:aliases w:val="PRI Quote Char"/>
    <w:basedOn w:val="DefaultParagraphFont"/>
    <w:link w:val="Quote"/>
    <w:uiPriority w:val="7"/>
    <w:rsid w:val="0026118A"/>
    <w:rPr>
      <w:rFonts w:ascii="Arial" w:hAnsi="Arial" w:cs="Arial"/>
      <w:color w:val="808080" w:themeColor="background1" w:themeShade="80"/>
      <w:sz w:val="32"/>
    </w:rPr>
  </w:style>
  <w:style w:type="character" w:styleId="Strong">
    <w:name w:val="Strong"/>
    <w:aliases w:val="PRI Bold Body"/>
    <w:uiPriority w:val="8"/>
    <w:rsid w:val="00304A6F"/>
    <w:rPr>
      <w:rFonts w:ascii="Arial" w:hAnsi="Arial"/>
      <w:b/>
      <w:i w:val="0"/>
    </w:rPr>
  </w:style>
  <w:style w:type="paragraph" w:customStyle="1" w:styleId="PRIFigureCaption">
    <w:name w:val="PRI Figure Caption"/>
    <w:basedOn w:val="Normal"/>
    <w:uiPriority w:val="9"/>
    <w:qFormat/>
    <w:rsid w:val="00B60221"/>
    <w:pPr>
      <w:spacing w:after="320"/>
      <w:jc w:val="right"/>
    </w:pPr>
    <w:rPr>
      <w:color w:val="595959"/>
      <w:sz w:val="18"/>
      <w:szCs w:val="18"/>
    </w:rPr>
  </w:style>
  <w:style w:type="paragraph" w:customStyle="1" w:styleId="PRITableHeading">
    <w:name w:val="PRI Table Heading"/>
    <w:basedOn w:val="Normal"/>
    <w:uiPriority w:val="11"/>
    <w:qFormat/>
    <w:rsid w:val="004C5458"/>
    <w:rPr>
      <w:color w:val="FFFFFF"/>
      <w:sz w:val="24"/>
      <w:szCs w:val="24"/>
    </w:rPr>
  </w:style>
  <w:style w:type="paragraph" w:customStyle="1" w:styleId="PRITableContent">
    <w:name w:val="PRI Table Content"/>
    <w:basedOn w:val="Normal"/>
    <w:uiPriority w:val="12"/>
    <w:rsid w:val="008A7016"/>
  </w:style>
  <w:style w:type="paragraph" w:styleId="FootnoteText">
    <w:name w:val="footnote text"/>
    <w:aliases w:val="PRI Footnote Text"/>
    <w:basedOn w:val="Normal"/>
    <w:link w:val="FootnoteTextChar"/>
    <w:autoRedefine/>
    <w:uiPriority w:val="99"/>
    <w:unhideWhenUsed/>
    <w:qFormat/>
    <w:rsid w:val="00B1361C"/>
    <w:rPr>
      <w:color w:val="808080"/>
      <w:sz w:val="17"/>
      <w:szCs w:val="24"/>
    </w:rPr>
  </w:style>
  <w:style w:type="character" w:customStyle="1" w:styleId="FootnoteTextChar">
    <w:name w:val="Footnote Text Char"/>
    <w:aliases w:val="PRI Footnote Text Char"/>
    <w:basedOn w:val="DefaultParagraphFont"/>
    <w:link w:val="FootnoteText"/>
    <w:uiPriority w:val="99"/>
    <w:rsid w:val="00C867A7"/>
    <w:rPr>
      <w:rFonts w:ascii="Arial" w:hAnsi="Arial" w:cs="Arial"/>
      <w:color w:val="808080"/>
      <w:sz w:val="17"/>
    </w:rPr>
  </w:style>
  <w:style w:type="character" w:styleId="FootnoteReference">
    <w:name w:val="footnote reference"/>
    <w:basedOn w:val="DefaultParagraphFont"/>
    <w:uiPriority w:val="99"/>
    <w:unhideWhenUsed/>
    <w:rsid w:val="00B1361C"/>
    <w:rPr>
      <w:vertAlign w:val="superscript"/>
    </w:rPr>
  </w:style>
  <w:style w:type="character" w:styleId="SubtleEmphasis">
    <w:name w:val="Subtle Emphasis"/>
    <w:basedOn w:val="DefaultParagraphFont"/>
    <w:uiPriority w:val="19"/>
    <w:rsid w:val="0045739C"/>
    <w:rPr>
      <w:i/>
      <w:iCs/>
      <w:color w:val="808080"/>
    </w:rPr>
  </w:style>
  <w:style w:type="character" w:styleId="Emphasis">
    <w:name w:val="Emphasis"/>
    <w:basedOn w:val="DefaultParagraphFont"/>
    <w:uiPriority w:val="20"/>
    <w:rsid w:val="0045739C"/>
    <w:rPr>
      <w:i/>
      <w:iCs/>
    </w:rPr>
  </w:style>
  <w:style w:type="character" w:styleId="IntenseEmphasis">
    <w:name w:val="Intense Emphasis"/>
    <w:basedOn w:val="DefaultParagraphFont"/>
    <w:uiPriority w:val="21"/>
    <w:rsid w:val="0045739C"/>
    <w:rPr>
      <w:b/>
      <w:bCs/>
      <w:i/>
      <w:iCs/>
      <w:color w:val="0050A6"/>
    </w:rPr>
  </w:style>
  <w:style w:type="paragraph" w:styleId="IntenseQuote">
    <w:name w:val="Intense Quote"/>
    <w:basedOn w:val="Normal"/>
    <w:next w:val="Normal"/>
    <w:link w:val="IntenseQuoteChar"/>
    <w:uiPriority w:val="30"/>
    <w:rsid w:val="0045739C"/>
    <w:pPr>
      <w:pBdr>
        <w:bottom w:val="single" w:sz="4" w:space="4" w:color="0050A6"/>
      </w:pBdr>
      <w:spacing w:before="200" w:after="280"/>
      <w:ind w:left="936" w:right="936"/>
    </w:pPr>
    <w:rPr>
      <w:b/>
      <w:bCs/>
      <w:i/>
      <w:iCs/>
      <w:color w:val="0050A6"/>
    </w:rPr>
  </w:style>
  <w:style w:type="character" w:customStyle="1" w:styleId="IntenseQuoteChar">
    <w:name w:val="Intense Quote Char"/>
    <w:basedOn w:val="DefaultParagraphFont"/>
    <w:link w:val="IntenseQuote"/>
    <w:uiPriority w:val="30"/>
    <w:rsid w:val="0045739C"/>
    <w:rPr>
      <w:rFonts w:ascii="Alright Sans Regular" w:hAnsi="Alright Sans Regular" w:cs="Arial"/>
      <w:b/>
      <w:bCs/>
      <w:i/>
      <w:iCs/>
      <w:color w:val="0050A6"/>
      <w:sz w:val="20"/>
      <w:szCs w:val="20"/>
    </w:rPr>
  </w:style>
  <w:style w:type="character" w:styleId="SubtleReference">
    <w:name w:val="Subtle Reference"/>
    <w:basedOn w:val="DefaultParagraphFont"/>
    <w:uiPriority w:val="31"/>
    <w:rsid w:val="0045739C"/>
    <w:rPr>
      <w:rFonts w:ascii="Alright Sans Regular Italic" w:hAnsi="Alright Sans Regular Italic"/>
      <w:b w:val="0"/>
      <w:i w:val="0"/>
      <w:smallCaps/>
      <w:color w:val="008CC8"/>
      <w:u w:val="single"/>
    </w:rPr>
  </w:style>
  <w:style w:type="character" w:styleId="IntenseReference">
    <w:name w:val="Intense Reference"/>
    <w:basedOn w:val="DefaultParagraphFont"/>
    <w:uiPriority w:val="32"/>
    <w:rsid w:val="0045739C"/>
    <w:rPr>
      <w:b/>
      <w:bCs/>
      <w:smallCaps/>
      <w:color w:val="008CC8"/>
      <w:spacing w:val="5"/>
      <w:u w:val="single"/>
    </w:rPr>
  </w:style>
  <w:style w:type="paragraph" w:styleId="TOC1">
    <w:name w:val="toc 1"/>
    <w:basedOn w:val="Normal"/>
    <w:next w:val="Normal"/>
    <w:link w:val="TOC1Char"/>
    <w:autoRedefine/>
    <w:uiPriority w:val="39"/>
    <w:unhideWhenUsed/>
    <w:qFormat/>
    <w:rsid w:val="008F7868"/>
    <w:pPr>
      <w:tabs>
        <w:tab w:val="left" w:pos="284"/>
        <w:tab w:val="left" w:pos="567"/>
        <w:tab w:val="left" w:pos="851"/>
        <w:tab w:val="right" w:pos="8658"/>
      </w:tabs>
    </w:pPr>
    <w:rPr>
      <w:noProof/>
    </w:rPr>
  </w:style>
  <w:style w:type="paragraph" w:styleId="TOC2">
    <w:name w:val="toc 2"/>
    <w:basedOn w:val="Normal"/>
    <w:next w:val="Normal"/>
    <w:autoRedefine/>
    <w:uiPriority w:val="39"/>
    <w:unhideWhenUsed/>
    <w:qFormat/>
    <w:rsid w:val="008F7868"/>
    <w:pPr>
      <w:tabs>
        <w:tab w:val="right" w:pos="8658"/>
      </w:tabs>
      <w:spacing w:line="360" w:lineRule="auto"/>
      <w:ind w:left="284"/>
    </w:pPr>
    <w:rPr>
      <w:noProof/>
    </w:rPr>
  </w:style>
  <w:style w:type="paragraph" w:styleId="TOC3">
    <w:name w:val="toc 3"/>
    <w:basedOn w:val="Normal"/>
    <w:next w:val="Normal"/>
    <w:autoRedefine/>
    <w:uiPriority w:val="39"/>
    <w:unhideWhenUsed/>
    <w:qFormat/>
    <w:rsid w:val="008F7868"/>
    <w:pPr>
      <w:tabs>
        <w:tab w:val="right" w:pos="8658"/>
      </w:tabs>
      <w:ind w:left="567"/>
    </w:pPr>
    <w:rPr>
      <w:noProof/>
    </w:rPr>
  </w:style>
  <w:style w:type="paragraph" w:styleId="TOC4">
    <w:name w:val="toc 4"/>
    <w:basedOn w:val="Normal"/>
    <w:next w:val="Normal"/>
    <w:autoRedefine/>
    <w:uiPriority w:val="39"/>
    <w:unhideWhenUsed/>
    <w:qFormat/>
    <w:rsid w:val="008F7868"/>
    <w:pPr>
      <w:tabs>
        <w:tab w:val="right" w:pos="8658"/>
      </w:tabs>
      <w:ind w:left="851"/>
    </w:pPr>
    <w:rPr>
      <w:noProof/>
    </w:rPr>
  </w:style>
  <w:style w:type="paragraph" w:styleId="TOC5">
    <w:name w:val="toc 5"/>
    <w:basedOn w:val="Normal"/>
    <w:next w:val="Normal"/>
    <w:autoRedefine/>
    <w:uiPriority w:val="39"/>
    <w:unhideWhenUsed/>
    <w:rsid w:val="005B7A27"/>
    <w:pPr>
      <w:ind w:left="800"/>
    </w:pPr>
    <w:rPr>
      <w:rFonts w:ascii="Calibri" w:hAnsi="Calibri"/>
    </w:rPr>
  </w:style>
  <w:style w:type="paragraph" w:styleId="TOC6">
    <w:name w:val="toc 6"/>
    <w:basedOn w:val="Normal"/>
    <w:next w:val="Normal"/>
    <w:autoRedefine/>
    <w:uiPriority w:val="39"/>
    <w:unhideWhenUsed/>
    <w:rsid w:val="005B7A27"/>
    <w:pPr>
      <w:ind w:left="1000"/>
    </w:pPr>
    <w:rPr>
      <w:rFonts w:ascii="Calibri" w:hAnsi="Calibri"/>
    </w:rPr>
  </w:style>
  <w:style w:type="paragraph" w:styleId="TOC7">
    <w:name w:val="toc 7"/>
    <w:basedOn w:val="Normal"/>
    <w:next w:val="Normal"/>
    <w:autoRedefine/>
    <w:uiPriority w:val="39"/>
    <w:unhideWhenUsed/>
    <w:rsid w:val="005B7A27"/>
    <w:pPr>
      <w:ind w:left="1200"/>
    </w:pPr>
    <w:rPr>
      <w:rFonts w:ascii="Calibri" w:hAnsi="Calibri"/>
    </w:rPr>
  </w:style>
  <w:style w:type="paragraph" w:styleId="TOC8">
    <w:name w:val="toc 8"/>
    <w:basedOn w:val="Normal"/>
    <w:next w:val="Normal"/>
    <w:autoRedefine/>
    <w:uiPriority w:val="39"/>
    <w:unhideWhenUsed/>
    <w:rsid w:val="005B7A27"/>
    <w:pPr>
      <w:ind w:left="1400"/>
    </w:pPr>
    <w:rPr>
      <w:rFonts w:ascii="Calibri" w:hAnsi="Calibri"/>
    </w:rPr>
  </w:style>
  <w:style w:type="paragraph" w:styleId="TOC9">
    <w:name w:val="toc 9"/>
    <w:basedOn w:val="Normal"/>
    <w:next w:val="Normal"/>
    <w:autoRedefine/>
    <w:uiPriority w:val="39"/>
    <w:unhideWhenUsed/>
    <w:rsid w:val="005B7A27"/>
    <w:pPr>
      <w:ind w:left="1600"/>
    </w:pPr>
    <w:rPr>
      <w:rFonts w:ascii="Calibri" w:hAnsi="Calibri"/>
    </w:rPr>
  </w:style>
  <w:style w:type="paragraph" w:styleId="TOCHeading">
    <w:name w:val="TOC Heading"/>
    <w:basedOn w:val="Heading1"/>
    <w:next w:val="Normal"/>
    <w:uiPriority w:val="39"/>
    <w:unhideWhenUsed/>
    <w:rsid w:val="00FB0633"/>
    <w:pPr>
      <w:keepNext/>
      <w:keepLines/>
      <w:spacing w:before="480" w:line="276" w:lineRule="auto"/>
      <w:outlineLvl w:val="9"/>
    </w:pPr>
    <w:rPr>
      <w:rFonts w:ascii="Calibri" w:hAnsi="Calibri"/>
      <w:b w:val="0"/>
      <w:bCs/>
      <w:color w:val="003B7C"/>
      <w:sz w:val="30"/>
      <w:szCs w:val="28"/>
    </w:rPr>
  </w:style>
  <w:style w:type="paragraph" w:customStyle="1" w:styleId="PRITOC1">
    <w:name w:val="PRI TOC 1"/>
    <w:basedOn w:val="TOC1"/>
    <w:link w:val="PRITOC1Char"/>
    <w:uiPriority w:val="10"/>
    <w:rsid w:val="005827D1"/>
    <w:rPr>
      <w:b/>
      <w:sz w:val="24"/>
    </w:rPr>
  </w:style>
  <w:style w:type="character" w:customStyle="1" w:styleId="TOC1Char">
    <w:name w:val="TOC 1 Char"/>
    <w:basedOn w:val="DefaultParagraphFont"/>
    <w:link w:val="TOC1"/>
    <w:uiPriority w:val="39"/>
    <w:rsid w:val="008F7868"/>
    <w:rPr>
      <w:rFonts w:ascii="Alright Sans Regular" w:hAnsi="Alright Sans Regular" w:cs="Arial"/>
      <w:noProof/>
      <w:sz w:val="20"/>
      <w:szCs w:val="20"/>
    </w:rPr>
  </w:style>
  <w:style w:type="character" w:customStyle="1" w:styleId="PRITOC1Char">
    <w:name w:val="PRI TOC 1 Char"/>
    <w:basedOn w:val="TOC1Char"/>
    <w:link w:val="PRITOC1"/>
    <w:uiPriority w:val="10"/>
    <w:rsid w:val="00FA4069"/>
    <w:rPr>
      <w:rFonts w:ascii="Arial" w:hAnsi="Arial" w:cs="Arial"/>
      <w:b/>
      <w:noProof/>
      <w:sz w:val="20"/>
      <w:szCs w:val="20"/>
    </w:rPr>
  </w:style>
  <w:style w:type="character" w:styleId="PageNumber">
    <w:name w:val="page number"/>
    <w:basedOn w:val="DefaultParagraphFont"/>
    <w:uiPriority w:val="99"/>
    <w:semiHidden/>
    <w:unhideWhenUsed/>
    <w:rsid w:val="0071094E"/>
  </w:style>
  <w:style w:type="table" w:styleId="MediumShading1-Accent3">
    <w:name w:val="Medium Shading 1 Accent 3"/>
    <w:basedOn w:val="TableNormal"/>
    <w:uiPriority w:val="63"/>
    <w:rsid w:val="00D30BA3"/>
    <w:tblPr>
      <w:tblStyleRowBandSize w:val="1"/>
      <w:tblStyleColBandSize w:val="1"/>
      <w:tblBorders>
        <w:top w:val="single" w:sz="8" w:space="0" w:color="34C7FF"/>
        <w:left w:val="single" w:sz="8" w:space="0" w:color="34C7FF"/>
        <w:bottom w:val="single" w:sz="8" w:space="0" w:color="34C7FF"/>
        <w:right w:val="single" w:sz="8" w:space="0" w:color="34C7FF"/>
        <w:insideH w:val="single" w:sz="8" w:space="0" w:color="34C7FF"/>
      </w:tblBorders>
    </w:tblPr>
    <w:tblStylePr w:type="firstRow">
      <w:pPr>
        <w:spacing w:before="0" w:after="0" w:line="240" w:lineRule="auto"/>
      </w:pPr>
      <w:rPr>
        <w:b/>
        <w:bCs/>
        <w:color w:val="FFFFFF"/>
      </w:rPr>
      <w:tblPr/>
      <w:tcPr>
        <w:tcBorders>
          <w:top w:val="single" w:sz="8" w:space="0" w:color="34C7FF"/>
          <w:left w:val="single" w:sz="8" w:space="0" w:color="34C7FF"/>
          <w:bottom w:val="single" w:sz="8" w:space="0" w:color="34C7FF"/>
          <w:right w:val="single" w:sz="8" w:space="0" w:color="34C7FF"/>
          <w:insideH w:val="nil"/>
          <w:insideV w:val="nil"/>
        </w:tcBorders>
        <w:shd w:val="clear" w:color="auto" w:fill="00AFF0"/>
      </w:tcPr>
    </w:tblStylePr>
    <w:tblStylePr w:type="lastRow">
      <w:pPr>
        <w:spacing w:before="0" w:after="0" w:line="240" w:lineRule="auto"/>
      </w:pPr>
      <w:rPr>
        <w:b/>
        <w:bCs/>
      </w:rPr>
      <w:tblPr/>
      <w:tcPr>
        <w:tcBorders>
          <w:top w:val="double" w:sz="6" w:space="0" w:color="34C7FF"/>
          <w:left w:val="single" w:sz="8" w:space="0" w:color="34C7FF"/>
          <w:bottom w:val="single" w:sz="8" w:space="0" w:color="34C7FF"/>
          <w:right w:val="single" w:sz="8" w:space="0" w:color="34C7FF"/>
          <w:insideH w:val="nil"/>
          <w:insideV w:val="nil"/>
        </w:tcBorders>
      </w:tcPr>
    </w:tblStylePr>
    <w:tblStylePr w:type="firstCol">
      <w:rPr>
        <w:b/>
        <w:bCs/>
      </w:rPr>
    </w:tblStylePr>
    <w:tblStylePr w:type="lastCol">
      <w:rPr>
        <w:b/>
        <w:bCs/>
      </w:rPr>
    </w:tblStylePr>
    <w:tblStylePr w:type="band1Vert">
      <w:tblPr/>
      <w:tcPr>
        <w:shd w:val="clear" w:color="auto" w:fill="BCECFF"/>
      </w:tcPr>
    </w:tblStylePr>
    <w:tblStylePr w:type="band1Horz">
      <w:tblPr/>
      <w:tcPr>
        <w:tcBorders>
          <w:insideH w:val="nil"/>
          <w:insideV w:val="nil"/>
        </w:tcBorders>
        <w:shd w:val="clear" w:color="auto" w:fill="BCECFF"/>
      </w:tcPr>
    </w:tblStylePr>
    <w:tblStylePr w:type="band2Horz">
      <w:tblPr/>
      <w:tcPr>
        <w:tcBorders>
          <w:insideH w:val="nil"/>
          <w:insideV w:val="nil"/>
        </w:tcBorders>
      </w:tcPr>
    </w:tblStylePr>
  </w:style>
  <w:style w:type="table" w:customStyle="1" w:styleId="PRITable">
    <w:name w:val="PRI Table"/>
    <w:basedOn w:val="TableNormal"/>
    <w:uiPriority w:val="99"/>
    <w:rsid w:val="00CD3D0F"/>
    <w:pPr>
      <w:spacing w:before="240" w:after="120"/>
      <w:ind w:left="170" w:right="170"/>
    </w:pPr>
    <w:tblPr>
      <w:tblBorders>
        <w:top w:val="dashed" w:sz="4" w:space="0" w:color="A6A6A6" w:themeColor="background1" w:themeShade="A6"/>
        <w:left w:val="single" w:sz="8" w:space="0" w:color="FFFFFF" w:themeColor="background1"/>
        <w:bottom w:val="single" w:sz="8" w:space="0" w:color="FFFFFF" w:themeColor="background1"/>
        <w:right w:val="single" w:sz="8" w:space="0" w:color="FFFFFF" w:themeColor="background1"/>
        <w:insideH w:val="dashed" w:sz="4" w:space="0" w:color="808080" w:themeColor="background1" w:themeShade="80"/>
        <w:insideV w:val="dashed" w:sz="4" w:space="0" w:color="808080" w:themeColor="background1" w:themeShade="80"/>
      </w:tblBorders>
      <w:tblCellMar>
        <w:top w:w="113" w:type="dxa"/>
        <w:left w:w="0" w:type="dxa"/>
        <w:bottom w:w="113" w:type="dxa"/>
        <w:right w:w="0" w:type="dxa"/>
      </w:tblCellMar>
    </w:tblPr>
    <w:tcPr>
      <w:shd w:val="clear" w:color="auto" w:fill="auto"/>
      <w:tcMar>
        <w:top w:w="57" w:type="dxa"/>
        <w:bottom w:w="57" w:type="dxa"/>
      </w:tcMar>
      <w:vAlign w:val="center"/>
    </w:tcPr>
    <w:tblStylePr w:type="firstRow">
      <w:pPr>
        <w:wordWrap/>
        <w:spacing w:beforeLines="0" w:beforeAutospacing="0" w:afterLines="0" w:afterAutospacing="0" w:line="360" w:lineRule="auto"/>
        <w:ind w:leftChars="0" w:left="170" w:rightChars="0" w:right="170"/>
        <w:contextualSpacing/>
        <w:jc w:val="left"/>
      </w:pPr>
      <w:rPr>
        <w:rFonts w:ascii="Arial" w:hAnsi="Arial"/>
        <w:b/>
        <w:bCs/>
        <w:i w:val="0"/>
        <w:iCs w:val="0"/>
        <w:caps w:val="0"/>
        <w:smallCaps w:val="0"/>
        <w:strike w:val="0"/>
        <w:dstrike w:val="0"/>
        <w:vanish w:val="0"/>
        <w:color w:val="auto"/>
        <w:kern w:val="0"/>
        <w:sz w:val="24"/>
        <w:szCs w:val="24"/>
        <w:u w:val="none"/>
        <w:vertAlign w:val="baseline"/>
      </w:rPr>
      <w:tblPr/>
      <w:tcPr>
        <w:tcBorders>
          <w:top w:val="dashed" w:sz="4" w:space="0" w:color="FFFFFF" w:themeColor="background1"/>
          <w:left w:val="dashed" w:sz="4" w:space="0" w:color="FFFFFF" w:themeColor="background1"/>
          <w:bottom w:val="single" w:sz="18" w:space="0" w:color="0D74C8"/>
          <w:right w:val="dashed" w:sz="4" w:space="0" w:color="FFFFFF" w:themeColor="background1"/>
          <w:insideH w:val="nil"/>
          <w:insideV w:val="dashed" w:sz="4" w:space="0" w:color="1159BE"/>
          <w:tl2br w:val="nil"/>
          <w:tr2bl w:val="nil"/>
        </w:tcBorders>
        <w:shd w:val="clear" w:color="auto" w:fill="auto"/>
      </w:tcPr>
    </w:tblStylePr>
    <w:tblStylePr w:type="firstCol">
      <w:rPr>
        <w:rFonts w:ascii="Arial" w:hAnsi="Arial"/>
        <w:b w:val="0"/>
        <w:i w:val="0"/>
        <w:sz w:val="20"/>
      </w:rPr>
    </w:tblStylePr>
  </w:style>
  <w:style w:type="paragraph" w:styleId="NormalWeb">
    <w:name w:val="Normal (Web)"/>
    <w:basedOn w:val="Normal"/>
    <w:uiPriority w:val="99"/>
    <w:semiHidden/>
    <w:unhideWhenUsed/>
    <w:rsid w:val="00A63E5B"/>
    <w:pPr>
      <w:spacing w:before="100" w:beforeAutospacing="1" w:after="100" w:afterAutospacing="1"/>
    </w:pPr>
    <w:rPr>
      <w:rFonts w:ascii="Times" w:hAnsi="Times"/>
    </w:rPr>
  </w:style>
  <w:style w:type="table" w:styleId="TableGrid">
    <w:name w:val="Table Grid"/>
    <w:basedOn w:val="TableNormal"/>
    <w:uiPriority w:val="59"/>
    <w:rsid w:val="00F3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F35021"/>
    <w:rPr>
      <w:color w:val="8F8F8F"/>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la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cPr>
    </w:tblStylePr>
    <w:tblStylePr w:type="band1Horz">
      <w:tblPr/>
      <w:tcPr>
        <w:tcBorders>
          <w:left w:val="nil"/>
          <w:right w:val="nil"/>
          <w:insideH w:val="nil"/>
          <w:insideV w:val="nil"/>
        </w:tcBorders>
        <w:shd w:val="clear" w:color="auto" w:fill="EFEFEF"/>
      </w:tcPr>
    </w:tblStylePr>
  </w:style>
  <w:style w:type="paragraph" w:styleId="BalloonText">
    <w:name w:val="Balloon Text"/>
    <w:basedOn w:val="Normal"/>
    <w:link w:val="BalloonTextChar"/>
    <w:uiPriority w:val="99"/>
    <w:semiHidden/>
    <w:unhideWhenUsed/>
    <w:rsid w:val="006659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96D"/>
    <w:rPr>
      <w:rFonts w:ascii="Lucida Grande" w:hAnsi="Lucida Grande" w:cs="Lucida Grande"/>
      <w:sz w:val="18"/>
      <w:szCs w:val="18"/>
    </w:rPr>
  </w:style>
  <w:style w:type="numbering" w:customStyle="1" w:styleId="PRINumbering">
    <w:name w:val="PRI Numbering"/>
    <w:basedOn w:val="NoList"/>
    <w:uiPriority w:val="99"/>
    <w:rsid w:val="003513E0"/>
    <w:pPr>
      <w:numPr>
        <w:numId w:val="6"/>
      </w:numPr>
    </w:pPr>
  </w:style>
  <w:style w:type="paragraph" w:styleId="ListNumber">
    <w:name w:val="List Number"/>
    <w:basedOn w:val="Normal"/>
    <w:autoRedefine/>
    <w:uiPriority w:val="99"/>
    <w:semiHidden/>
    <w:unhideWhenUsed/>
    <w:rsid w:val="00F52AC9"/>
    <w:pPr>
      <w:numPr>
        <w:numId w:val="1"/>
      </w:numPr>
    </w:pPr>
  </w:style>
  <w:style w:type="paragraph" w:styleId="ListNumber2">
    <w:name w:val="List Number 2"/>
    <w:basedOn w:val="Normal"/>
    <w:autoRedefine/>
    <w:uiPriority w:val="99"/>
    <w:semiHidden/>
    <w:unhideWhenUsed/>
    <w:rsid w:val="00F52AC9"/>
    <w:pPr>
      <w:numPr>
        <w:numId w:val="2"/>
      </w:numPr>
    </w:pPr>
  </w:style>
  <w:style w:type="paragraph" w:styleId="ListNumber3">
    <w:name w:val="List Number 3"/>
    <w:basedOn w:val="Normal"/>
    <w:autoRedefine/>
    <w:uiPriority w:val="99"/>
    <w:semiHidden/>
    <w:unhideWhenUsed/>
    <w:rsid w:val="00F52AC9"/>
    <w:pPr>
      <w:numPr>
        <w:numId w:val="3"/>
      </w:numPr>
    </w:pPr>
  </w:style>
  <w:style w:type="paragraph" w:styleId="ListNumber4">
    <w:name w:val="List Number 4"/>
    <w:basedOn w:val="Normal"/>
    <w:autoRedefine/>
    <w:uiPriority w:val="99"/>
    <w:semiHidden/>
    <w:unhideWhenUsed/>
    <w:rsid w:val="00F52AC9"/>
    <w:pPr>
      <w:numPr>
        <w:numId w:val="4"/>
      </w:numPr>
    </w:pPr>
  </w:style>
  <w:style w:type="paragraph" w:styleId="ListNumber5">
    <w:name w:val="List Number 5"/>
    <w:basedOn w:val="Normal"/>
    <w:autoRedefine/>
    <w:uiPriority w:val="99"/>
    <w:unhideWhenUsed/>
    <w:rsid w:val="00F52AC9"/>
    <w:pPr>
      <w:numPr>
        <w:numId w:val="5"/>
      </w:numPr>
    </w:pPr>
  </w:style>
  <w:style w:type="character" w:customStyle="1" w:styleId="Heading5Char">
    <w:name w:val="Heading 5 Char"/>
    <w:basedOn w:val="DefaultParagraphFont"/>
    <w:uiPriority w:val="19"/>
    <w:semiHidden/>
    <w:rsid w:val="003513E0"/>
    <w:rPr>
      <w:rFonts w:asciiTheme="majorHAnsi" w:eastAsiaTheme="majorEastAsia" w:hAnsiTheme="majorHAnsi" w:cstheme="majorBidi"/>
      <w:color w:val="243F60" w:themeColor="accent1" w:themeShade="7F"/>
      <w:sz w:val="22"/>
      <w:lang w:val="en-US"/>
    </w:rPr>
  </w:style>
  <w:style w:type="character" w:customStyle="1" w:styleId="Heading6Char">
    <w:name w:val="Heading 6 Char"/>
    <w:basedOn w:val="DefaultParagraphFont"/>
    <w:uiPriority w:val="19"/>
    <w:semiHidden/>
    <w:rsid w:val="003513E0"/>
    <w:rPr>
      <w:rFonts w:asciiTheme="majorHAnsi" w:eastAsiaTheme="majorEastAsia" w:hAnsiTheme="majorHAnsi" w:cstheme="majorBidi"/>
      <w:i/>
      <w:iCs/>
      <w:color w:val="243F60" w:themeColor="accent1" w:themeShade="7F"/>
      <w:sz w:val="22"/>
      <w:lang w:val="en-US"/>
    </w:rPr>
  </w:style>
  <w:style w:type="character" w:customStyle="1" w:styleId="Heading7Char">
    <w:name w:val="Heading 7 Char"/>
    <w:basedOn w:val="DefaultParagraphFont"/>
    <w:uiPriority w:val="19"/>
    <w:semiHidden/>
    <w:rsid w:val="003513E0"/>
    <w:rPr>
      <w:rFonts w:asciiTheme="majorHAnsi" w:eastAsiaTheme="majorEastAsia" w:hAnsiTheme="majorHAnsi" w:cstheme="majorBidi"/>
      <w:i/>
      <w:iCs/>
      <w:color w:val="404040" w:themeColor="text1" w:themeTint="BF"/>
      <w:sz w:val="22"/>
      <w:lang w:val="en-US"/>
    </w:rPr>
  </w:style>
  <w:style w:type="character" w:customStyle="1" w:styleId="Heading8Char">
    <w:name w:val="Heading 8 Char"/>
    <w:basedOn w:val="DefaultParagraphFont"/>
    <w:uiPriority w:val="19"/>
    <w:semiHidden/>
    <w:rsid w:val="003513E0"/>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uiPriority w:val="19"/>
    <w:semiHidden/>
    <w:rsid w:val="003513E0"/>
    <w:rPr>
      <w:rFonts w:asciiTheme="majorHAnsi" w:eastAsiaTheme="majorEastAsia" w:hAnsiTheme="majorHAnsi" w:cstheme="majorBidi"/>
      <w:i/>
      <w:iCs/>
      <w:color w:val="404040" w:themeColor="text1" w:themeTint="BF"/>
      <w:lang w:val="en-US"/>
    </w:rPr>
  </w:style>
  <w:style w:type="table" w:styleId="MediumList1-Accent6">
    <w:name w:val="Medium List 1 Accent 6"/>
    <w:basedOn w:val="TableNormal"/>
    <w:uiPriority w:val="19"/>
    <w:rsid w:val="00E966D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6">
    <w:name w:val="Medium List 2 Accent 6"/>
    <w:basedOn w:val="TableNormal"/>
    <w:uiPriority w:val="21"/>
    <w:rsid w:val="00E966D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29"/>
    <w:qFormat/>
    <w:rsid w:val="00E966D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30"/>
    <w:rsid w:val="00E966D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6">
    <w:name w:val="Medium Grid 1 Accent 6"/>
    <w:basedOn w:val="TableNormal"/>
    <w:uiPriority w:val="31"/>
    <w:rsid w:val="00E966D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34"/>
    <w:qFormat/>
    <w:rsid w:val="00E966D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1-Accent2">
    <w:name w:val="Medium Grid 1 Accent 2"/>
    <w:basedOn w:val="TableNormal"/>
    <w:uiPriority w:val="62"/>
    <w:rsid w:val="00E966D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2"/>
    <w:rsid w:val="00E966D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2"/>
    <w:rsid w:val="00E966D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Accent5">
    <w:name w:val="Medium List 2 Accent 5"/>
    <w:basedOn w:val="TableNormal"/>
    <w:uiPriority w:val="61"/>
    <w:rsid w:val="00E966D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PRITable2">
    <w:name w:val="PRI Table 2"/>
    <w:basedOn w:val="TableNormal"/>
    <w:uiPriority w:val="99"/>
    <w:rsid w:val="00F02E05"/>
    <w:pPr>
      <w:ind w:left="170" w:right="170"/>
    </w:p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left w:w="0" w:type="dxa"/>
        <w:bottom w:w="113" w:type="dxa"/>
        <w:right w:w="0" w:type="dxa"/>
      </w:tblCellMar>
    </w:tblPr>
    <w:tcPr>
      <w:tcMar>
        <w:top w:w="57" w:type="dxa"/>
        <w:bottom w:w="57" w:type="dxa"/>
      </w:tcMar>
    </w:tcPr>
    <w:tblStylePr w:type="firstRow">
      <w:pPr>
        <w:wordWrap/>
        <w:spacing w:beforeLines="0" w:beforeAutospacing="0" w:afterLines="0" w:afterAutospacing="0"/>
        <w:ind w:leftChars="0" w:left="170" w:rightChars="0" w:right="170"/>
        <w:jc w:val="left"/>
      </w:pPr>
      <w:rPr>
        <w:rFonts w:ascii="Arial" w:hAnsi="Arial"/>
        <w:b/>
        <w:bCs/>
        <w:i w:val="0"/>
        <w:iCs w:val="0"/>
        <w:caps w:val="0"/>
        <w:smallCaps w:val="0"/>
        <w:strike w:val="0"/>
        <w:dstrike w:val="0"/>
        <w:vanish w:val="0"/>
        <w:color w:val="FFFFFF" w:themeColor="background1"/>
        <w:kern w:val="0"/>
        <w:sz w:val="24"/>
        <w:szCs w:val="24"/>
        <w:vertAlign w:val="baseline"/>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FFFFFF"/>
        </w:tcBorders>
        <w:shd w:val="clear" w:color="auto" w:fill="1875C1"/>
      </w:tcPr>
    </w:tblStylePr>
    <w:tblStylePr w:type="firstCol">
      <w:rPr>
        <w:rFonts w:ascii="Arial" w:hAnsi="Arial"/>
        <w:b w:val="0"/>
        <w:i w:val="0"/>
        <w:sz w:val="20"/>
      </w:rPr>
    </w:tblStylePr>
  </w:style>
  <w:style w:type="paragraph" w:customStyle="1" w:styleId="PRIQuoteBlue">
    <w:name w:val="PRI Quote Blue"/>
    <w:basedOn w:val="Quote"/>
    <w:link w:val="PRIQuoteBlueChar"/>
    <w:uiPriority w:val="6"/>
    <w:qFormat/>
    <w:rsid w:val="00814307"/>
    <w:rPr>
      <w:color w:val="00B0F0"/>
    </w:rPr>
  </w:style>
  <w:style w:type="character" w:customStyle="1" w:styleId="PRIQuoteBlueChar">
    <w:name w:val="PRI Quote Blue Char"/>
    <w:basedOn w:val="QuoteChar"/>
    <w:link w:val="PRIQuoteBlue"/>
    <w:uiPriority w:val="6"/>
    <w:rsid w:val="00AA4F37"/>
    <w:rPr>
      <w:rFonts w:ascii="Arial" w:hAnsi="Arial" w:cs="Arial"/>
      <w:color w:val="00B0F0"/>
      <w:sz w:val="32"/>
    </w:rPr>
  </w:style>
  <w:style w:type="paragraph" w:styleId="ListBullet2">
    <w:name w:val="List Bullet 2"/>
    <w:basedOn w:val="Normal"/>
    <w:uiPriority w:val="6"/>
    <w:qFormat/>
    <w:rsid w:val="000672B9"/>
    <w:pPr>
      <w:numPr>
        <w:numId w:val="7"/>
      </w:numPr>
      <w:ind w:left="641" w:hanging="357"/>
    </w:pPr>
  </w:style>
  <w:style w:type="paragraph" w:styleId="ListBullet3">
    <w:name w:val="List Bullet 3"/>
    <w:basedOn w:val="Normal"/>
    <w:uiPriority w:val="6"/>
    <w:qFormat/>
    <w:rsid w:val="000672B9"/>
    <w:pPr>
      <w:numPr>
        <w:numId w:val="8"/>
      </w:numPr>
      <w:ind w:left="924" w:hanging="357"/>
    </w:pPr>
  </w:style>
  <w:style w:type="paragraph" w:styleId="ListBullet4">
    <w:name w:val="List Bullet 4"/>
    <w:basedOn w:val="Normal"/>
    <w:uiPriority w:val="99"/>
    <w:unhideWhenUsed/>
    <w:qFormat/>
    <w:rsid w:val="006877A4"/>
    <w:pPr>
      <w:numPr>
        <w:numId w:val="9"/>
      </w:numPr>
    </w:pPr>
  </w:style>
  <w:style w:type="paragraph" w:styleId="ListBullet5">
    <w:name w:val="List Bullet 5"/>
    <w:basedOn w:val="Normal"/>
    <w:uiPriority w:val="99"/>
    <w:unhideWhenUsed/>
    <w:qFormat/>
    <w:rsid w:val="006877A4"/>
    <w:pPr>
      <w:numPr>
        <w:numId w:val="10"/>
      </w:numPr>
    </w:pPr>
  </w:style>
  <w:style w:type="paragraph" w:styleId="ListParagraph">
    <w:name w:val="List Paragraph"/>
    <w:aliases w:val="PRI Bullets"/>
    <w:basedOn w:val="Normal"/>
    <w:uiPriority w:val="34"/>
    <w:qFormat/>
    <w:rsid w:val="00AA4F37"/>
    <w:pPr>
      <w:ind w:left="720"/>
    </w:pPr>
  </w:style>
  <w:style w:type="numbering" w:customStyle="1" w:styleId="prilist">
    <w:name w:val="pri list"/>
    <w:uiPriority w:val="99"/>
    <w:rsid w:val="000672B9"/>
    <w:pPr>
      <w:numPr>
        <w:numId w:val="11"/>
      </w:numPr>
    </w:pPr>
  </w:style>
  <w:style w:type="character" w:styleId="Hyperlink">
    <w:name w:val="Hyperlink"/>
    <w:basedOn w:val="DefaultParagraphFont"/>
    <w:uiPriority w:val="99"/>
    <w:unhideWhenUsed/>
    <w:rsid w:val="007258DC"/>
    <w:rPr>
      <w:color w:val="0000FF" w:themeColor="hyperlink"/>
      <w:u w:val="single"/>
    </w:rPr>
  </w:style>
  <w:style w:type="character" w:styleId="CommentReference">
    <w:name w:val="annotation reference"/>
    <w:basedOn w:val="DefaultParagraphFont"/>
    <w:uiPriority w:val="99"/>
    <w:semiHidden/>
    <w:unhideWhenUsed/>
    <w:rsid w:val="00D63190"/>
    <w:rPr>
      <w:sz w:val="16"/>
      <w:szCs w:val="16"/>
    </w:rPr>
  </w:style>
  <w:style w:type="paragraph" w:styleId="CommentText">
    <w:name w:val="annotation text"/>
    <w:basedOn w:val="Normal"/>
    <w:link w:val="CommentTextChar"/>
    <w:uiPriority w:val="99"/>
    <w:semiHidden/>
    <w:unhideWhenUsed/>
    <w:rsid w:val="00D63190"/>
    <w:pPr>
      <w:spacing w:line="240" w:lineRule="auto"/>
    </w:pPr>
  </w:style>
  <w:style w:type="character" w:customStyle="1" w:styleId="CommentTextChar">
    <w:name w:val="Comment Text Char"/>
    <w:basedOn w:val="DefaultParagraphFont"/>
    <w:link w:val="CommentText"/>
    <w:uiPriority w:val="99"/>
    <w:semiHidden/>
    <w:rsid w:val="00D63190"/>
  </w:style>
  <w:style w:type="paragraph" w:styleId="CommentSubject">
    <w:name w:val="annotation subject"/>
    <w:basedOn w:val="CommentText"/>
    <w:next w:val="CommentText"/>
    <w:link w:val="CommentSubjectChar"/>
    <w:uiPriority w:val="99"/>
    <w:semiHidden/>
    <w:unhideWhenUsed/>
    <w:rsid w:val="00D63190"/>
    <w:rPr>
      <w:b/>
      <w:bCs/>
    </w:rPr>
  </w:style>
  <w:style w:type="character" w:customStyle="1" w:styleId="CommentSubjectChar">
    <w:name w:val="Comment Subject Char"/>
    <w:basedOn w:val="CommentTextChar"/>
    <w:link w:val="CommentSubject"/>
    <w:uiPriority w:val="99"/>
    <w:semiHidden/>
    <w:rsid w:val="00D63190"/>
    <w:rPr>
      <w:b/>
      <w:bCs/>
    </w:rPr>
  </w:style>
  <w:style w:type="character" w:styleId="FollowedHyperlink">
    <w:name w:val="FollowedHyperlink"/>
    <w:basedOn w:val="DefaultParagraphFont"/>
    <w:uiPriority w:val="99"/>
    <w:semiHidden/>
    <w:unhideWhenUsed/>
    <w:rsid w:val="00AF48D6"/>
    <w:rPr>
      <w:color w:val="800080" w:themeColor="followedHyperlink"/>
      <w:u w:val="single"/>
    </w:rPr>
  </w:style>
  <w:style w:type="character" w:styleId="UnresolvedMention">
    <w:name w:val="Unresolved Mention"/>
    <w:basedOn w:val="DefaultParagraphFont"/>
    <w:uiPriority w:val="99"/>
    <w:semiHidden/>
    <w:unhideWhenUsed/>
    <w:rsid w:val="000E7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4962">
      <w:bodyDiv w:val="1"/>
      <w:marLeft w:val="0"/>
      <w:marRight w:val="0"/>
      <w:marTop w:val="0"/>
      <w:marBottom w:val="0"/>
      <w:divBdr>
        <w:top w:val="none" w:sz="0" w:space="0" w:color="auto"/>
        <w:left w:val="none" w:sz="0" w:space="0" w:color="auto"/>
        <w:bottom w:val="none" w:sz="0" w:space="0" w:color="auto"/>
        <w:right w:val="none" w:sz="0" w:space="0" w:color="auto"/>
      </w:divBdr>
    </w:div>
    <w:div w:id="1156385169">
      <w:bodyDiv w:val="1"/>
      <w:marLeft w:val="0"/>
      <w:marRight w:val="0"/>
      <w:marTop w:val="0"/>
      <w:marBottom w:val="0"/>
      <w:divBdr>
        <w:top w:val="none" w:sz="0" w:space="0" w:color="auto"/>
        <w:left w:val="none" w:sz="0" w:space="0" w:color="auto"/>
        <w:bottom w:val="none" w:sz="0" w:space="0" w:color="auto"/>
        <w:right w:val="none" w:sz="0" w:space="0" w:color="auto"/>
      </w:divBdr>
    </w:div>
    <w:div w:id="1222328800">
      <w:bodyDiv w:val="1"/>
      <w:marLeft w:val="0"/>
      <w:marRight w:val="0"/>
      <w:marTop w:val="0"/>
      <w:marBottom w:val="0"/>
      <w:divBdr>
        <w:top w:val="none" w:sz="0" w:space="0" w:color="auto"/>
        <w:left w:val="none" w:sz="0" w:space="0" w:color="auto"/>
        <w:bottom w:val="none" w:sz="0" w:space="0" w:color="auto"/>
        <w:right w:val="none" w:sz="0" w:space="0" w:color="auto"/>
      </w:divBdr>
    </w:div>
    <w:div w:id="1242913040">
      <w:bodyDiv w:val="1"/>
      <w:marLeft w:val="0"/>
      <w:marRight w:val="0"/>
      <w:marTop w:val="0"/>
      <w:marBottom w:val="0"/>
      <w:divBdr>
        <w:top w:val="none" w:sz="0" w:space="0" w:color="auto"/>
        <w:left w:val="none" w:sz="0" w:space="0" w:color="auto"/>
        <w:bottom w:val="none" w:sz="0" w:space="0" w:color="auto"/>
        <w:right w:val="none" w:sz="0" w:space="0" w:color="auto"/>
      </w:divBdr>
    </w:div>
    <w:div w:id="1809395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dunbar@unpr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pri.org/wp-content/uploads/2015-7-PRI-Rules-for-Advisory-Committees-and-Working-Group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0D5A38A1CDA24EB46A6E28D14F762B" ma:contentTypeVersion="4" ma:contentTypeDescription="Create a new document." ma:contentTypeScope="" ma:versionID="dd92c1ad1f5d5aefb4acfc4858a0a217">
  <xsd:schema xmlns:xsd="http://www.w3.org/2001/XMLSchema" xmlns:xs="http://www.w3.org/2001/XMLSchema" xmlns:p="http://schemas.microsoft.com/office/2006/metadata/properties" xmlns:ns3="40895833-0dac-4e1f-9cf4-e144a313729a" targetNamespace="http://schemas.microsoft.com/office/2006/metadata/properties" ma:root="true" ma:fieldsID="7fd840d381c6c4ed38073bac4b609d76" ns3:_="">
    <xsd:import namespace="40895833-0dac-4e1f-9cf4-e144a31372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95833-0dac-4e1f-9cf4-e144a3137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29FEE-7144-4A3A-A7F6-D94643B4A8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5D82D-9EBD-44CD-B1F4-4A9B45CCF55C}">
  <ds:schemaRefs>
    <ds:schemaRef ds:uri="http://schemas.microsoft.com/sharepoint/v3/contenttype/forms"/>
  </ds:schemaRefs>
</ds:datastoreItem>
</file>

<file path=customXml/itemProps3.xml><?xml version="1.0" encoding="utf-8"?>
<ds:datastoreItem xmlns:ds="http://schemas.openxmlformats.org/officeDocument/2006/customXml" ds:itemID="{A6822666-B1D3-4143-B79F-46E8D41B5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95833-0dac-4e1f-9cf4-e144a3137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54CF58-56FF-447C-A9A9-0DA7A1B6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Alessandro Boaretto</dc:creator>
  <cp:lastModifiedBy>Peter Dunbar</cp:lastModifiedBy>
  <cp:revision>24</cp:revision>
  <cp:lastPrinted>2015-08-17T13:50:00Z</cp:lastPrinted>
  <dcterms:created xsi:type="dcterms:W3CDTF">2020-03-31T12:44:00Z</dcterms:created>
  <dcterms:modified xsi:type="dcterms:W3CDTF">2020-03-31T12:57:00Z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0x0101008A0D5A38A1CDA24EB46A6E28D14F762B</vt:lpwstr>
  </property>
</Properties>
</file>