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969C7" w14:textId="77777777" w:rsidR="00257A56" w:rsidRDefault="00257A56" w:rsidP="00733715">
      <w:bookmarkStart w:id="0" w:name="_GoBack"/>
      <w:bookmarkEnd w:id="0"/>
    </w:p>
    <w:p w14:paraId="79AFC225" w14:textId="77777777" w:rsidR="00450707" w:rsidRDefault="00450707" w:rsidP="00450707">
      <w:pPr>
        <w:pStyle w:val="Title"/>
      </w:pPr>
      <w:r>
        <w:t xml:space="preserve">PRI Assessment Methodology – Overview </w:t>
      </w:r>
    </w:p>
    <w:p w14:paraId="66B7F768" w14:textId="77777777" w:rsidR="00450707" w:rsidRDefault="00450707" w:rsidP="00450707">
      <w:pPr>
        <w:jc w:val="both"/>
      </w:pPr>
      <w:r>
        <w:t xml:space="preserve">This is an overview of the assessment methodology for the PRI Reporting Framework. </w:t>
      </w:r>
    </w:p>
    <w:p w14:paraId="3A9B3543" w14:textId="77777777" w:rsidR="00450707" w:rsidRDefault="00450707" w:rsidP="00450707">
      <w:pPr>
        <w:jc w:val="both"/>
      </w:pPr>
      <w:r>
        <w:t xml:space="preserve">It outlines how indicators will be aggregated to produce an overall module score and performance band for </w:t>
      </w:r>
      <w:r w:rsidRPr="003D2369">
        <w:t xml:space="preserve">each signatory. </w:t>
      </w:r>
      <w:r>
        <w:t xml:space="preserve">For detailed per-indicator assessment methodology, please see the </w:t>
      </w:r>
      <w:hyperlink r:id="rId11" w:history="1">
        <w:r w:rsidRPr="00450707">
          <w:rPr>
            <w:rStyle w:val="Hyperlink"/>
          </w:rPr>
          <w:t>Reporting Framework documents</w:t>
        </w:r>
      </w:hyperlink>
      <w:r w:rsidRPr="003D2369">
        <w:t xml:space="preserve">. </w:t>
      </w:r>
    </w:p>
    <w:p w14:paraId="6F571511" w14:textId="77777777" w:rsidR="00450707" w:rsidRDefault="00450707" w:rsidP="00450707">
      <w:pPr>
        <w:jc w:val="both"/>
      </w:pPr>
      <w:r w:rsidRPr="003D2369">
        <w:t>A</w:t>
      </w:r>
      <w:r w:rsidRPr="003812A7">
        <w:t xml:space="preserve"> </w:t>
      </w:r>
      <w:r>
        <w:t>m</w:t>
      </w:r>
      <w:r w:rsidRPr="003812A7">
        <w:t xml:space="preserve">ock </w:t>
      </w:r>
      <w:r>
        <w:t>A</w:t>
      </w:r>
      <w:r w:rsidRPr="003812A7">
        <w:t xml:space="preserve">ssessment Report showing how signatories’ scores </w:t>
      </w:r>
      <w:r>
        <w:t xml:space="preserve">are </w:t>
      </w:r>
      <w:r w:rsidRPr="003812A7">
        <w:t xml:space="preserve">presented can be found </w:t>
      </w:r>
      <w:hyperlink r:id="rId12" w:history="1">
        <w:r>
          <w:rPr>
            <w:rStyle w:val="Hyperlink"/>
          </w:rPr>
          <w:t>here</w:t>
        </w:r>
      </w:hyperlink>
      <w:r>
        <w:t>.</w:t>
      </w:r>
    </w:p>
    <w:p w14:paraId="7AD0232F" w14:textId="77777777" w:rsidR="00450707" w:rsidRPr="00795759" w:rsidRDefault="00450707" w:rsidP="00450707">
      <w:pPr>
        <w:jc w:val="both"/>
      </w:pPr>
      <w:r>
        <w:t>Signatories will have their Assessment Reports made available to them in early July each year, based on responses they submitted during the recent reporting period.</w:t>
      </w:r>
      <w:r w:rsidRPr="00731950">
        <w:rPr>
          <w:b/>
        </w:rPr>
        <w:t xml:space="preserve"> </w:t>
      </w:r>
      <w:r>
        <w:rPr>
          <w:rFonts w:eastAsia="Times New Roman"/>
        </w:rPr>
        <w:t>P</w:t>
      </w:r>
      <w:r w:rsidRPr="00101D65">
        <w:rPr>
          <w:rFonts w:eastAsia="Times New Roman"/>
        </w:rPr>
        <w:t>RI will not publis</w:t>
      </w:r>
      <w:r>
        <w:rPr>
          <w:rFonts w:eastAsia="Times New Roman"/>
        </w:rPr>
        <w:t xml:space="preserve">h the Assessment Reports, but </w:t>
      </w:r>
      <w:r w:rsidRPr="00101D65">
        <w:rPr>
          <w:rFonts w:eastAsia="Times New Roman"/>
        </w:rPr>
        <w:t xml:space="preserve">signatories </w:t>
      </w:r>
      <w:r>
        <w:rPr>
          <w:rFonts w:eastAsia="Times New Roman"/>
        </w:rPr>
        <w:t>may wish to publish or share this report. Should they choose to share/publish, they must</w:t>
      </w:r>
      <w:r w:rsidRPr="00101D65">
        <w:rPr>
          <w:rFonts w:eastAsia="Times New Roman"/>
        </w:rPr>
        <w:t>:</w:t>
      </w:r>
    </w:p>
    <w:p w14:paraId="1DE2C593" w14:textId="77777777" w:rsidR="00450707" w:rsidRPr="00C53795" w:rsidRDefault="00450707" w:rsidP="00450707">
      <w:pPr>
        <w:pStyle w:val="ListParagraph"/>
        <w:numPr>
          <w:ilvl w:val="0"/>
          <w:numId w:val="40"/>
        </w:numPr>
        <w:rPr>
          <w:rFonts w:eastAsia="Times New Roman"/>
        </w:rPr>
      </w:pPr>
      <w:r>
        <w:rPr>
          <w:rFonts w:eastAsia="Times New Roman"/>
        </w:rPr>
        <w:t>Include a link</w:t>
      </w:r>
      <w:r w:rsidRPr="00C53795">
        <w:rPr>
          <w:rFonts w:eastAsia="Times New Roman"/>
        </w:rPr>
        <w:t xml:space="preserve"> to the PRI assessment methodology</w:t>
      </w:r>
    </w:p>
    <w:p w14:paraId="1FC269DA" w14:textId="77777777" w:rsidR="00450707" w:rsidRPr="00C53795" w:rsidRDefault="00450707" w:rsidP="00450707">
      <w:pPr>
        <w:pStyle w:val="ListParagraph"/>
        <w:numPr>
          <w:ilvl w:val="0"/>
          <w:numId w:val="40"/>
        </w:numPr>
        <w:rPr>
          <w:rFonts w:eastAsia="Times New Roman"/>
        </w:rPr>
      </w:pPr>
      <w:r>
        <w:rPr>
          <w:rFonts w:eastAsia="Times New Roman"/>
        </w:rPr>
        <w:t xml:space="preserve">Include access </w:t>
      </w:r>
      <w:r w:rsidRPr="00C53795">
        <w:rPr>
          <w:rFonts w:eastAsia="Times New Roman"/>
        </w:rPr>
        <w:t xml:space="preserve">to </w:t>
      </w:r>
      <w:r>
        <w:rPr>
          <w:rFonts w:eastAsia="Times New Roman"/>
        </w:rPr>
        <w:t xml:space="preserve">a copy of the </w:t>
      </w:r>
      <w:r w:rsidRPr="00C53795">
        <w:rPr>
          <w:rFonts w:eastAsia="Times New Roman"/>
        </w:rPr>
        <w:t>full Assessment Report</w:t>
      </w:r>
      <w:r>
        <w:rPr>
          <w:rFonts w:eastAsia="Times New Roman"/>
        </w:rPr>
        <w:t>,</w:t>
      </w:r>
      <w:r w:rsidRPr="00C53795">
        <w:rPr>
          <w:rFonts w:eastAsia="Times New Roman"/>
        </w:rPr>
        <w:t xml:space="preserve"> if only a section is published</w:t>
      </w:r>
      <w:r>
        <w:rPr>
          <w:rFonts w:eastAsia="Times New Roman"/>
        </w:rPr>
        <w:t xml:space="preserve"> in summary</w:t>
      </w:r>
    </w:p>
    <w:p w14:paraId="006394AF" w14:textId="77777777" w:rsidR="00450707" w:rsidRPr="00C53795" w:rsidRDefault="00450707" w:rsidP="00450707">
      <w:pPr>
        <w:pStyle w:val="ListParagraph"/>
        <w:numPr>
          <w:ilvl w:val="0"/>
          <w:numId w:val="40"/>
        </w:numPr>
        <w:rPr>
          <w:rFonts w:eastAsia="Times New Roman"/>
        </w:rPr>
      </w:pPr>
      <w:r>
        <w:rPr>
          <w:rFonts w:eastAsia="Times New Roman"/>
        </w:rPr>
        <w:t xml:space="preserve">Include access </w:t>
      </w:r>
      <w:r w:rsidRPr="00C53795">
        <w:rPr>
          <w:rFonts w:eastAsia="Times New Roman"/>
        </w:rPr>
        <w:t xml:space="preserve">to their </w:t>
      </w:r>
      <w:r>
        <w:rPr>
          <w:rFonts w:eastAsia="Times New Roman"/>
        </w:rPr>
        <w:t xml:space="preserve">public </w:t>
      </w:r>
      <w:r w:rsidRPr="00C53795">
        <w:rPr>
          <w:rFonts w:eastAsia="Times New Roman"/>
        </w:rPr>
        <w:t>Transparency Report</w:t>
      </w:r>
    </w:p>
    <w:p w14:paraId="074BB1CE" w14:textId="77777777" w:rsidR="00450707" w:rsidRPr="00C53795" w:rsidRDefault="00450707" w:rsidP="00450707">
      <w:pPr>
        <w:pStyle w:val="ListParagraph"/>
        <w:numPr>
          <w:ilvl w:val="0"/>
          <w:numId w:val="40"/>
        </w:numPr>
        <w:rPr>
          <w:rFonts w:eastAsia="Times New Roman"/>
        </w:rPr>
      </w:pPr>
      <w:r>
        <w:rPr>
          <w:rFonts w:eastAsia="Times New Roman"/>
        </w:rPr>
        <w:t>T</w:t>
      </w:r>
      <w:r w:rsidRPr="00C53795">
        <w:rPr>
          <w:rFonts w:eastAsia="Times New Roman"/>
        </w:rPr>
        <w:t>ake every care not to represent scores out of context</w:t>
      </w:r>
    </w:p>
    <w:p w14:paraId="7DF0D019" w14:textId="77777777" w:rsidR="00450707" w:rsidRDefault="00450707" w:rsidP="00450707">
      <w:pPr>
        <w:jc w:val="both"/>
      </w:pPr>
    </w:p>
    <w:p w14:paraId="1A6C5A5E" w14:textId="77777777" w:rsidR="00450707" w:rsidRPr="0000232F" w:rsidRDefault="00450707" w:rsidP="00450707">
      <w:pPr>
        <w:jc w:val="both"/>
        <w:rPr>
          <w:rFonts w:eastAsia="Times New Roman"/>
        </w:rPr>
      </w:pPr>
      <w:r>
        <w:rPr>
          <w:b/>
          <w:bCs/>
        </w:rPr>
        <w:t xml:space="preserve">Please note that prior to publishing Assessment Reports the PRI may need to revise the methodology for individual indicators. As such the following document should be viewed as a guideline only and may not reflect the final version. </w:t>
      </w:r>
    </w:p>
    <w:p w14:paraId="55206F0F" w14:textId="77777777" w:rsidR="0098796B" w:rsidRDefault="0098796B" w:rsidP="009B0325">
      <w:pPr>
        <w:jc w:val="both"/>
      </w:pPr>
    </w:p>
    <w:p w14:paraId="773361A9" w14:textId="77777777" w:rsidR="002D2EFB" w:rsidRDefault="002D2EFB">
      <w:pPr>
        <w:widowControl/>
        <w:autoSpaceDE/>
        <w:autoSpaceDN/>
        <w:adjustRightInd/>
        <w:spacing w:before="0" w:after="0" w:line="240" w:lineRule="auto"/>
        <w:rPr>
          <w:highlight w:val="yellow"/>
        </w:rPr>
      </w:pPr>
      <w:r>
        <w:rPr>
          <w:highlight w:val="yellow"/>
        </w:rPr>
        <w:br w:type="page"/>
      </w:r>
    </w:p>
    <w:sdt>
      <w:sdtPr>
        <w:rPr>
          <w:rFonts w:ascii="Arial" w:hAnsi="Arial" w:cs="Arial"/>
          <w:bCs w:val="0"/>
          <w:color w:val="auto"/>
          <w:sz w:val="20"/>
          <w:szCs w:val="20"/>
        </w:rPr>
        <w:id w:val="-1211339935"/>
        <w:docPartObj>
          <w:docPartGallery w:val="Table of Contents"/>
          <w:docPartUnique/>
        </w:docPartObj>
      </w:sdtPr>
      <w:sdtEndPr>
        <w:rPr>
          <w:b/>
          <w:noProof/>
        </w:rPr>
      </w:sdtEndPr>
      <w:sdtContent>
        <w:p w14:paraId="093697DE" w14:textId="0A6E32E5" w:rsidR="002D2EFB" w:rsidRDefault="002D2EFB">
          <w:pPr>
            <w:pStyle w:val="TOCHeading"/>
            <w:rPr>
              <w:rFonts w:ascii="Arial" w:hAnsi="Arial" w:cs="Arial"/>
              <w:sz w:val="36"/>
            </w:rPr>
          </w:pPr>
          <w:r w:rsidRPr="00903EB7">
            <w:rPr>
              <w:rFonts w:ascii="Arial" w:hAnsi="Arial" w:cs="Arial"/>
              <w:sz w:val="36"/>
            </w:rPr>
            <w:t>Table of Contents</w:t>
          </w:r>
        </w:p>
        <w:p w14:paraId="40A330B1" w14:textId="77777777" w:rsidR="00F35B40" w:rsidRPr="00450707" w:rsidRDefault="00F35B40" w:rsidP="00450707"/>
        <w:p w14:paraId="60D1F392" w14:textId="7F9612DF" w:rsidR="00450707" w:rsidRDefault="002D2EFB">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532309320" w:history="1">
            <w:r w:rsidR="00450707" w:rsidRPr="0007327F">
              <w:rPr>
                <w:rStyle w:val="Hyperlink"/>
              </w:rPr>
              <w:t>Assessment Aims</w:t>
            </w:r>
            <w:r w:rsidR="00450707">
              <w:rPr>
                <w:webHidden/>
              </w:rPr>
              <w:tab/>
            </w:r>
            <w:r w:rsidR="00450707">
              <w:rPr>
                <w:webHidden/>
              </w:rPr>
              <w:fldChar w:fldCharType="begin"/>
            </w:r>
            <w:r w:rsidR="00450707">
              <w:rPr>
                <w:webHidden/>
              </w:rPr>
              <w:instrText xml:space="preserve"> PAGEREF _Toc532309320 \h </w:instrText>
            </w:r>
            <w:r w:rsidR="00450707">
              <w:rPr>
                <w:webHidden/>
              </w:rPr>
            </w:r>
            <w:r w:rsidR="00450707">
              <w:rPr>
                <w:webHidden/>
              </w:rPr>
              <w:fldChar w:fldCharType="separate"/>
            </w:r>
            <w:r w:rsidR="0092645C">
              <w:rPr>
                <w:webHidden/>
              </w:rPr>
              <w:t>2</w:t>
            </w:r>
            <w:r w:rsidR="00450707">
              <w:rPr>
                <w:webHidden/>
              </w:rPr>
              <w:fldChar w:fldCharType="end"/>
            </w:r>
          </w:hyperlink>
        </w:p>
        <w:p w14:paraId="717A1535" w14:textId="68797F82" w:rsidR="00450707" w:rsidRDefault="0092645C">
          <w:pPr>
            <w:pStyle w:val="TOC1"/>
            <w:rPr>
              <w:rFonts w:asciiTheme="minorHAnsi" w:eastAsiaTheme="minorEastAsia" w:hAnsiTheme="minorHAnsi" w:cstheme="minorBidi"/>
              <w:sz w:val="22"/>
              <w:szCs w:val="22"/>
              <w:lang w:eastAsia="en-GB"/>
            </w:rPr>
          </w:pPr>
          <w:hyperlink w:anchor="_Toc532309321" w:history="1">
            <w:r w:rsidR="00450707" w:rsidRPr="0007327F">
              <w:rPr>
                <w:rStyle w:val="Hyperlink"/>
              </w:rPr>
              <w:t>Assessment Design Principles</w:t>
            </w:r>
            <w:r w:rsidR="00450707">
              <w:rPr>
                <w:webHidden/>
              </w:rPr>
              <w:tab/>
            </w:r>
            <w:r w:rsidR="00450707">
              <w:rPr>
                <w:webHidden/>
              </w:rPr>
              <w:fldChar w:fldCharType="begin"/>
            </w:r>
            <w:r w:rsidR="00450707">
              <w:rPr>
                <w:webHidden/>
              </w:rPr>
              <w:instrText xml:space="preserve"> PAGEREF _Toc532309321 \h </w:instrText>
            </w:r>
            <w:r w:rsidR="00450707">
              <w:rPr>
                <w:webHidden/>
              </w:rPr>
            </w:r>
            <w:r w:rsidR="00450707">
              <w:rPr>
                <w:webHidden/>
              </w:rPr>
              <w:fldChar w:fldCharType="separate"/>
            </w:r>
            <w:r>
              <w:rPr>
                <w:webHidden/>
              </w:rPr>
              <w:t>2</w:t>
            </w:r>
            <w:r w:rsidR="00450707">
              <w:rPr>
                <w:webHidden/>
              </w:rPr>
              <w:fldChar w:fldCharType="end"/>
            </w:r>
          </w:hyperlink>
        </w:p>
        <w:p w14:paraId="738C850B" w14:textId="3FA7BDEC" w:rsidR="00450707" w:rsidRDefault="0092645C">
          <w:pPr>
            <w:pStyle w:val="TOC1"/>
            <w:rPr>
              <w:rFonts w:asciiTheme="minorHAnsi" w:eastAsiaTheme="minorEastAsia" w:hAnsiTheme="minorHAnsi" w:cstheme="minorBidi"/>
              <w:sz w:val="22"/>
              <w:szCs w:val="22"/>
              <w:lang w:eastAsia="en-GB"/>
            </w:rPr>
          </w:pPr>
          <w:hyperlink w:anchor="_Toc532309322" w:history="1">
            <w:r w:rsidR="00450707" w:rsidRPr="0007327F">
              <w:rPr>
                <w:rStyle w:val="Hyperlink"/>
              </w:rPr>
              <w:t>Assessment Methodology</w:t>
            </w:r>
            <w:r w:rsidR="00450707">
              <w:rPr>
                <w:webHidden/>
              </w:rPr>
              <w:tab/>
            </w:r>
            <w:r w:rsidR="00450707">
              <w:rPr>
                <w:webHidden/>
              </w:rPr>
              <w:fldChar w:fldCharType="begin"/>
            </w:r>
            <w:r w:rsidR="00450707">
              <w:rPr>
                <w:webHidden/>
              </w:rPr>
              <w:instrText xml:space="preserve"> PAGEREF _Toc532309322 \h </w:instrText>
            </w:r>
            <w:r w:rsidR="00450707">
              <w:rPr>
                <w:webHidden/>
              </w:rPr>
            </w:r>
            <w:r w:rsidR="00450707">
              <w:rPr>
                <w:webHidden/>
              </w:rPr>
              <w:fldChar w:fldCharType="separate"/>
            </w:r>
            <w:r>
              <w:rPr>
                <w:webHidden/>
              </w:rPr>
              <w:t>2</w:t>
            </w:r>
            <w:r w:rsidR="00450707">
              <w:rPr>
                <w:webHidden/>
              </w:rPr>
              <w:fldChar w:fldCharType="end"/>
            </w:r>
          </w:hyperlink>
        </w:p>
        <w:p w14:paraId="70D8DB53" w14:textId="78B6D171" w:rsidR="00450707" w:rsidRDefault="0092645C">
          <w:pPr>
            <w:pStyle w:val="TOC2"/>
            <w:rPr>
              <w:rFonts w:asciiTheme="minorHAnsi" w:eastAsiaTheme="minorEastAsia" w:hAnsiTheme="minorHAnsi" w:cstheme="minorBidi"/>
              <w:sz w:val="22"/>
              <w:szCs w:val="22"/>
              <w:lang w:eastAsia="en-GB"/>
            </w:rPr>
          </w:pPr>
          <w:hyperlink w:anchor="_Toc532309323" w:history="1">
            <w:r w:rsidR="00450707" w:rsidRPr="0007327F">
              <w:rPr>
                <w:rStyle w:val="Hyperlink"/>
              </w:rPr>
              <w:t>Overview</w:t>
            </w:r>
            <w:r w:rsidR="00450707">
              <w:rPr>
                <w:webHidden/>
              </w:rPr>
              <w:tab/>
            </w:r>
            <w:r w:rsidR="00450707">
              <w:rPr>
                <w:webHidden/>
              </w:rPr>
              <w:fldChar w:fldCharType="begin"/>
            </w:r>
            <w:r w:rsidR="00450707">
              <w:rPr>
                <w:webHidden/>
              </w:rPr>
              <w:instrText xml:space="preserve"> PAGEREF _Toc532309323 \h </w:instrText>
            </w:r>
            <w:r w:rsidR="00450707">
              <w:rPr>
                <w:webHidden/>
              </w:rPr>
            </w:r>
            <w:r w:rsidR="00450707">
              <w:rPr>
                <w:webHidden/>
              </w:rPr>
              <w:fldChar w:fldCharType="separate"/>
            </w:r>
            <w:r>
              <w:rPr>
                <w:webHidden/>
              </w:rPr>
              <w:t>2</w:t>
            </w:r>
            <w:r w:rsidR="00450707">
              <w:rPr>
                <w:webHidden/>
              </w:rPr>
              <w:fldChar w:fldCharType="end"/>
            </w:r>
          </w:hyperlink>
        </w:p>
        <w:p w14:paraId="4A62E162" w14:textId="1344F270" w:rsidR="00450707" w:rsidRDefault="0092645C">
          <w:pPr>
            <w:pStyle w:val="TOC2"/>
            <w:rPr>
              <w:rFonts w:asciiTheme="minorHAnsi" w:eastAsiaTheme="minorEastAsia" w:hAnsiTheme="minorHAnsi" w:cstheme="minorBidi"/>
              <w:sz w:val="22"/>
              <w:szCs w:val="22"/>
              <w:lang w:eastAsia="en-GB"/>
            </w:rPr>
          </w:pPr>
          <w:hyperlink w:anchor="_Toc532309324" w:history="1">
            <w:r w:rsidR="00450707" w:rsidRPr="0007327F">
              <w:rPr>
                <w:rStyle w:val="Hyperlink"/>
              </w:rPr>
              <w:t>Indicator Scoring</w:t>
            </w:r>
            <w:r w:rsidR="00450707">
              <w:rPr>
                <w:webHidden/>
              </w:rPr>
              <w:tab/>
            </w:r>
            <w:r w:rsidR="00450707">
              <w:rPr>
                <w:webHidden/>
              </w:rPr>
              <w:fldChar w:fldCharType="begin"/>
            </w:r>
            <w:r w:rsidR="00450707">
              <w:rPr>
                <w:webHidden/>
              </w:rPr>
              <w:instrText xml:space="preserve"> PAGEREF _Toc532309324 \h </w:instrText>
            </w:r>
            <w:r w:rsidR="00450707">
              <w:rPr>
                <w:webHidden/>
              </w:rPr>
            </w:r>
            <w:r w:rsidR="00450707">
              <w:rPr>
                <w:webHidden/>
              </w:rPr>
              <w:fldChar w:fldCharType="separate"/>
            </w:r>
            <w:r>
              <w:rPr>
                <w:webHidden/>
              </w:rPr>
              <w:t>2</w:t>
            </w:r>
            <w:r w:rsidR="00450707">
              <w:rPr>
                <w:webHidden/>
              </w:rPr>
              <w:fldChar w:fldCharType="end"/>
            </w:r>
          </w:hyperlink>
        </w:p>
        <w:p w14:paraId="4E6D4B89" w14:textId="6C3C3C92" w:rsidR="00450707" w:rsidRDefault="0092645C">
          <w:pPr>
            <w:pStyle w:val="TOC3"/>
            <w:rPr>
              <w:rFonts w:asciiTheme="minorHAnsi" w:eastAsiaTheme="minorEastAsia" w:hAnsiTheme="minorHAnsi" w:cstheme="minorBidi"/>
              <w:sz w:val="22"/>
              <w:szCs w:val="22"/>
              <w:lang w:eastAsia="en-GB"/>
            </w:rPr>
          </w:pPr>
          <w:hyperlink w:anchor="_Toc532309325" w:history="1">
            <w:r w:rsidR="00450707" w:rsidRPr="0007327F">
              <w:rPr>
                <w:rStyle w:val="Hyperlink"/>
              </w:rPr>
              <w:t>Indicator Scorecard</w:t>
            </w:r>
            <w:r w:rsidR="00450707">
              <w:rPr>
                <w:webHidden/>
              </w:rPr>
              <w:tab/>
            </w:r>
            <w:r w:rsidR="00450707">
              <w:rPr>
                <w:webHidden/>
              </w:rPr>
              <w:fldChar w:fldCharType="begin"/>
            </w:r>
            <w:r w:rsidR="00450707">
              <w:rPr>
                <w:webHidden/>
              </w:rPr>
              <w:instrText xml:space="preserve"> PAGEREF _Toc532309325 \h </w:instrText>
            </w:r>
            <w:r w:rsidR="00450707">
              <w:rPr>
                <w:webHidden/>
              </w:rPr>
            </w:r>
            <w:r w:rsidR="00450707">
              <w:rPr>
                <w:webHidden/>
              </w:rPr>
              <w:fldChar w:fldCharType="separate"/>
            </w:r>
            <w:r>
              <w:rPr>
                <w:webHidden/>
              </w:rPr>
              <w:t>2</w:t>
            </w:r>
            <w:r w:rsidR="00450707">
              <w:rPr>
                <w:webHidden/>
              </w:rPr>
              <w:fldChar w:fldCharType="end"/>
            </w:r>
          </w:hyperlink>
        </w:p>
        <w:p w14:paraId="51F7A5ED" w14:textId="5C1DD0ED" w:rsidR="00450707" w:rsidRDefault="0092645C">
          <w:pPr>
            <w:pStyle w:val="TOC2"/>
            <w:rPr>
              <w:rFonts w:asciiTheme="minorHAnsi" w:eastAsiaTheme="minorEastAsia" w:hAnsiTheme="minorHAnsi" w:cstheme="minorBidi"/>
              <w:sz w:val="22"/>
              <w:szCs w:val="22"/>
              <w:lang w:eastAsia="en-GB"/>
            </w:rPr>
          </w:pPr>
          <w:hyperlink w:anchor="_Toc532309327" w:history="1">
            <w:r w:rsidR="00450707" w:rsidRPr="0007327F">
              <w:rPr>
                <w:rStyle w:val="Hyperlink"/>
              </w:rPr>
              <w:t>Module Scoring</w:t>
            </w:r>
            <w:r w:rsidR="00450707">
              <w:rPr>
                <w:webHidden/>
              </w:rPr>
              <w:tab/>
            </w:r>
            <w:r w:rsidR="00450707">
              <w:rPr>
                <w:webHidden/>
              </w:rPr>
              <w:fldChar w:fldCharType="begin"/>
            </w:r>
            <w:r w:rsidR="00450707">
              <w:rPr>
                <w:webHidden/>
              </w:rPr>
              <w:instrText xml:space="preserve"> PAGEREF _Toc532309327 \h </w:instrText>
            </w:r>
            <w:r w:rsidR="00450707">
              <w:rPr>
                <w:webHidden/>
              </w:rPr>
            </w:r>
            <w:r w:rsidR="00450707">
              <w:rPr>
                <w:webHidden/>
              </w:rPr>
              <w:fldChar w:fldCharType="separate"/>
            </w:r>
            <w:r>
              <w:rPr>
                <w:webHidden/>
              </w:rPr>
              <w:t>2</w:t>
            </w:r>
            <w:r w:rsidR="00450707">
              <w:rPr>
                <w:webHidden/>
              </w:rPr>
              <w:fldChar w:fldCharType="end"/>
            </w:r>
          </w:hyperlink>
        </w:p>
        <w:p w14:paraId="24A5692A" w14:textId="32156481" w:rsidR="00450707" w:rsidRDefault="0092645C">
          <w:pPr>
            <w:pStyle w:val="TOC3"/>
            <w:rPr>
              <w:rFonts w:asciiTheme="minorHAnsi" w:eastAsiaTheme="minorEastAsia" w:hAnsiTheme="minorHAnsi" w:cstheme="minorBidi"/>
              <w:sz w:val="22"/>
              <w:szCs w:val="22"/>
              <w:lang w:eastAsia="en-GB"/>
            </w:rPr>
          </w:pPr>
          <w:hyperlink w:anchor="_Toc532309328" w:history="1">
            <w:r w:rsidR="00450707" w:rsidRPr="0007327F">
              <w:rPr>
                <w:rStyle w:val="Hyperlink"/>
              </w:rPr>
              <w:t>Assessing and Discarding Additional Indicators</w:t>
            </w:r>
            <w:r w:rsidR="00450707">
              <w:rPr>
                <w:webHidden/>
              </w:rPr>
              <w:tab/>
            </w:r>
            <w:r w:rsidR="00450707">
              <w:rPr>
                <w:webHidden/>
              </w:rPr>
              <w:fldChar w:fldCharType="begin"/>
            </w:r>
            <w:r w:rsidR="00450707">
              <w:rPr>
                <w:webHidden/>
              </w:rPr>
              <w:instrText xml:space="preserve"> PAGEREF _Toc532309328 \h </w:instrText>
            </w:r>
            <w:r w:rsidR="00450707">
              <w:rPr>
                <w:webHidden/>
              </w:rPr>
            </w:r>
            <w:r w:rsidR="00450707">
              <w:rPr>
                <w:webHidden/>
              </w:rPr>
              <w:fldChar w:fldCharType="separate"/>
            </w:r>
            <w:r>
              <w:rPr>
                <w:webHidden/>
              </w:rPr>
              <w:t>2</w:t>
            </w:r>
            <w:r w:rsidR="00450707">
              <w:rPr>
                <w:webHidden/>
              </w:rPr>
              <w:fldChar w:fldCharType="end"/>
            </w:r>
          </w:hyperlink>
        </w:p>
        <w:p w14:paraId="78C03198" w14:textId="74075F2F" w:rsidR="00450707" w:rsidRDefault="0092645C">
          <w:pPr>
            <w:pStyle w:val="TOC3"/>
            <w:rPr>
              <w:rFonts w:asciiTheme="minorHAnsi" w:eastAsiaTheme="minorEastAsia" w:hAnsiTheme="minorHAnsi" w:cstheme="minorBidi"/>
              <w:sz w:val="22"/>
              <w:szCs w:val="22"/>
              <w:lang w:eastAsia="en-GB"/>
            </w:rPr>
          </w:pPr>
          <w:hyperlink w:anchor="_Toc532309329" w:history="1">
            <w:r w:rsidR="00450707" w:rsidRPr="0007327F">
              <w:rPr>
                <w:rStyle w:val="Hyperlink"/>
              </w:rPr>
              <w:t>Exceptions to simple aggregation in module scores</w:t>
            </w:r>
            <w:r w:rsidR="00450707">
              <w:rPr>
                <w:webHidden/>
              </w:rPr>
              <w:tab/>
            </w:r>
            <w:r w:rsidR="00450707">
              <w:rPr>
                <w:webHidden/>
              </w:rPr>
              <w:fldChar w:fldCharType="begin"/>
            </w:r>
            <w:r w:rsidR="00450707">
              <w:rPr>
                <w:webHidden/>
              </w:rPr>
              <w:instrText xml:space="preserve"> PAGEREF _Toc532309329 \h </w:instrText>
            </w:r>
            <w:r w:rsidR="00450707">
              <w:rPr>
                <w:webHidden/>
              </w:rPr>
            </w:r>
            <w:r w:rsidR="00450707">
              <w:rPr>
                <w:webHidden/>
              </w:rPr>
              <w:fldChar w:fldCharType="separate"/>
            </w:r>
            <w:r>
              <w:rPr>
                <w:webHidden/>
              </w:rPr>
              <w:t>2</w:t>
            </w:r>
            <w:r w:rsidR="00450707">
              <w:rPr>
                <w:webHidden/>
              </w:rPr>
              <w:fldChar w:fldCharType="end"/>
            </w:r>
          </w:hyperlink>
        </w:p>
        <w:p w14:paraId="003B7D0C" w14:textId="5522203B" w:rsidR="00450707" w:rsidRDefault="0092645C">
          <w:pPr>
            <w:pStyle w:val="TOC3"/>
            <w:rPr>
              <w:rFonts w:asciiTheme="minorHAnsi" w:eastAsiaTheme="minorEastAsia" w:hAnsiTheme="minorHAnsi" w:cstheme="minorBidi"/>
              <w:sz w:val="22"/>
              <w:szCs w:val="22"/>
              <w:lang w:eastAsia="en-GB"/>
            </w:rPr>
          </w:pPr>
          <w:hyperlink w:anchor="_Toc532309330" w:history="1">
            <w:r w:rsidR="00450707" w:rsidRPr="0007327F">
              <w:rPr>
                <w:rStyle w:val="Hyperlink"/>
              </w:rPr>
              <w:t>Summary Scorecard</w:t>
            </w:r>
            <w:r w:rsidR="00450707">
              <w:rPr>
                <w:webHidden/>
              </w:rPr>
              <w:tab/>
            </w:r>
            <w:r w:rsidR="00450707">
              <w:rPr>
                <w:webHidden/>
              </w:rPr>
              <w:fldChar w:fldCharType="begin"/>
            </w:r>
            <w:r w:rsidR="00450707">
              <w:rPr>
                <w:webHidden/>
              </w:rPr>
              <w:instrText xml:space="preserve"> PAGEREF _Toc532309330 \h </w:instrText>
            </w:r>
            <w:r w:rsidR="00450707">
              <w:rPr>
                <w:webHidden/>
              </w:rPr>
            </w:r>
            <w:r w:rsidR="00450707">
              <w:rPr>
                <w:webHidden/>
              </w:rPr>
              <w:fldChar w:fldCharType="separate"/>
            </w:r>
            <w:r>
              <w:rPr>
                <w:webHidden/>
              </w:rPr>
              <w:t>2</w:t>
            </w:r>
            <w:r w:rsidR="00450707">
              <w:rPr>
                <w:webHidden/>
              </w:rPr>
              <w:fldChar w:fldCharType="end"/>
            </w:r>
          </w:hyperlink>
        </w:p>
        <w:p w14:paraId="0538ED56" w14:textId="15B7C470" w:rsidR="00450707" w:rsidRDefault="0092645C">
          <w:pPr>
            <w:pStyle w:val="TOC2"/>
            <w:rPr>
              <w:rFonts w:asciiTheme="minorHAnsi" w:eastAsiaTheme="minorEastAsia" w:hAnsiTheme="minorHAnsi" w:cstheme="minorBidi"/>
              <w:sz w:val="22"/>
              <w:szCs w:val="22"/>
              <w:lang w:eastAsia="en-GB"/>
            </w:rPr>
          </w:pPr>
          <w:hyperlink w:anchor="_Toc532309331" w:history="1">
            <w:r w:rsidR="00450707" w:rsidRPr="0007327F">
              <w:rPr>
                <w:rStyle w:val="Hyperlink"/>
              </w:rPr>
              <w:t>Module Peer Comparison</w:t>
            </w:r>
            <w:r w:rsidR="00450707">
              <w:rPr>
                <w:webHidden/>
              </w:rPr>
              <w:tab/>
            </w:r>
            <w:r w:rsidR="00450707">
              <w:rPr>
                <w:webHidden/>
              </w:rPr>
              <w:fldChar w:fldCharType="begin"/>
            </w:r>
            <w:r w:rsidR="00450707">
              <w:rPr>
                <w:webHidden/>
              </w:rPr>
              <w:instrText xml:space="preserve"> PAGEREF _Toc532309331 \h </w:instrText>
            </w:r>
            <w:r w:rsidR="00450707">
              <w:rPr>
                <w:webHidden/>
              </w:rPr>
            </w:r>
            <w:r w:rsidR="00450707">
              <w:rPr>
                <w:webHidden/>
              </w:rPr>
              <w:fldChar w:fldCharType="separate"/>
            </w:r>
            <w:r>
              <w:rPr>
                <w:webHidden/>
              </w:rPr>
              <w:t>2</w:t>
            </w:r>
            <w:r w:rsidR="00450707">
              <w:rPr>
                <w:webHidden/>
              </w:rPr>
              <w:fldChar w:fldCharType="end"/>
            </w:r>
          </w:hyperlink>
        </w:p>
        <w:p w14:paraId="73F5A3A7" w14:textId="4C13D713" w:rsidR="00450707" w:rsidRDefault="0092645C">
          <w:pPr>
            <w:pStyle w:val="TOC2"/>
            <w:rPr>
              <w:rFonts w:asciiTheme="minorHAnsi" w:eastAsiaTheme="minorEastAsia" w:hAnsiTheme="minorHAnsi" w:cstheme="minorBidi"/>
              <w:sz w:val="22"/>
              <w:szCs w:val="22"/>
              <w:lang w:eastAsia="en-GB"/>
            </w:rPr>
          </w:pPr>
          <w:hyperlink w:anchor="_Toc532309332" w:history="1">
            <w:r w:rsidR="00450707" w:rsidRPr="0007327F">
              <w:rPr>
                <w:rStyle w:val="Hyperlink"/>
              </w:rPr>
              <w:t>The Data Portal</w:t>
            </w:r>
            <w:r w:rsidR="00450707">
              <w:rPr>
                <w:webHidden/>
              </w:rPr>
              <w:tab/>
            </w:r>
            <w:r w:rsidR="00450707">
              <w:rPr>
                <w:webHidden/>
              </w:rPr>
              <w:fldChar w:fldCharType="begin"/>
            </w:r>
            <w:r w:rsidR="00450707">
              <w:rPr>
                <w:webHidden/>
              </w:rPr>
              <w:instrText xml:space="preserve"> PAGEREF _Toc532309332 \h </w:instrText>
            </w:r>
            <w:r w:rsidR="00450707">
              <w:rPr>
                <w:webHidden/>
              </w:rPr>
            </w:r>
            <w:r w:rsidR="00450707">
              <w:rPr>
                <w:webHidden/>
              </w:rPr>
              <w:fldChar w:fldCharType="separate"/>
            </w:r>
            <w:r>
              <w:rPr>
                <w:webHidden/>
              </w:rPr>
              <w:t>2</w:t>
            </w:r>
            <w:r w:rsidR="00450707">
              <w:rPr>
                <w:webHidden/>
              </w:rPr>
              <w:fldChar w:fldCharType="end"/>
            </w:r>
          </w:hyperlink>
        </w:p>
        <w:p w14:paraId="6FE6A57F" w14:textId="712984A0" w:rsidR="002D2EFB" w:rsidRDefault="002D2EFB" w:rsidP="00A53406">
          <w:pPr>
            <w:spacing w:before="0" w:after="100" w:afterAutospacing="1" w:line="240" w:lineRule="auto"/>
          </w:pPr>
          <w:r>
            <w:rPr>
              <w:b/>
              <w:bCs/>
              <w:noProof/>
            </w:rPr>
            <w:fldChar w:fldCharType="end"/>
          </w:r>
        </w:p>
      </w:sdtContent>
    </w:sdt>
    <w:p w14:paraId="7E67DF56" w14:textId="77777777" w:rsidR="002D2EFB" w:rsidRDefault="002D2EFB" w:rsidP="00257A56"/>
    <w:p w14:paraId="71EFDD27" w14:textId="77777777" w:rsidR="00781E7A" w:rsidRDefault="00781E7A">
      <w:pPr>
        <w:widowControl/>
        <w:autoSpaceDE/>
        <w:autoSpaceDN/>
        <w:adjustRightInd/>
        <w:spacing w:before="0" w:after="0" w:line="240" w:lineRule="auto"/>
      </w:pPr>
      <w:r>
        <w:br w:type="page"/>
      </w:r>
    </w:p>
    <w:p w14:paraId="1A040533" w14:textId="77777777" w:rsidR="00781E7A" w:rsidRDefault="00781E7A" w:rsidP="00781E7A">
      <w:pPr>
        <w:pStyle w:val="Heading1"/>
      </w:pPr>
      <w:bookmarkStart w:id="1" w:name="_Toc532309320"/>
      <w:r>
        <w:lastRenderedPageBreak/>
        <w:t>Assessment Aims</w:t>
      </w:r>
      <w:bookmarkEnd w:id="1"/>
      <w:r>
        <w:t xml:space="preserve"> </w:t>
      </w:r>
    </w:p>
    <w:p w14:paraId="27483BE3" w14:textId="113FA04F" w:rsidR="00781E7A" w:rsidRDefault="00781E7A" w:rsidP="009B0325">
      <w:pPr>
        <w:jc w:val="both"/>
      </w:pPr>
      <w:r>
        <w:t xml:space="preserve">The </w:t>
      </w:r>
      <w:r w:rsidR="00BF55B8">
        <w:t>A</w:t>
      </w:r>
      <w:r>
        <w:t xml:space="preserve">ssessment methodology and </w:t>
      </w:r>
      <w:r w:rsidR="00971DE6">
        <w:t>A</w:t>
      </w:r>
      <w:r>
        <w:t xml:space="preserve">ssessment </w:t>
      </w:r>
      <w:r w:rsidR="002B437D">
        <w:t>R</w:t>
      </w:r>
      <w:r>
        <w:t xml:space="preserve">eport together aim to achieve three objectives set by the PRI </w:t>
      </w:r>
      <w:r w:rsidR="00584C48">
        <w:t>Board</w:t>
      </w:r>
      <w:r>
        <w:t>,</w:t>
      </w:r>
      <w:r w:rsidR="009C7FA0">
        <w:t xml:space="preserve"> </w:t>
      </w:r>
      <w:hyperlink r:id="rId13" w:history="1">
        <w:r w:rsidR="009C7FA0" w:rsidRPr="009C7FA0">
          <w:t>the</w:t>
        </w:r>
        <w:r w:rsidRPr="009C7FA0">
          <w:t xml:space="preserve"> </w:t>
        </w:r>
        <w:r w:rsidR="009C7FA0" w:rsidRPr="009C7FA0">
          <w:t xml:space="preserve">Reporting and Assessment </w:t>
        </w:r>
        <w:r w:rsidR="00404BE5">
          <w:t>Advisory</w:t>
        </w:r>
        <w:r w:rsidR="00404BE5" w:rsidRPr="009C7FA0">
          <w:t xml:space="preserve"> </w:t>
        </w:r>
        <w:r w:rsidR="009C7FA0" w:rsidRPr="009C7FA0">
          <w:t>Committee (</w:t>
        </w:r>
        <w:r w:rsidR="00404BE5" w:rsidRPr="009C7FA0">
          <w:t>RA</w:t>
        </w:r>
        <w:r w:rsidR="00404BE5">
          <w:t>A</w:t>
        </w:r>
        <w:r w:rsidR="00404BE5" w:rsidRPr="009C7FA0">
          <w:t>C</w:t>
        </w:r>
        <w:r w:rsidR="009C7FA0" w:rsidRPr="009C7FA0">
          <w:t>)</w:t>
        </w:r>
      </w:hyperlink>
      <w:r w:rsidR="00584C48">
        <w:t xml:space="preserve"> </w:t>
      </w:r>
      <w:r>
        <w:t xml:space="preserve">and </w:t>
      </w:r>
      <w:r w:rsidR="00D64932">
        <w:t xml:space="preserve">the </w:t>
      </w:r>
      <w:r>
        <w:t xml:space="preserve">signatories that participated in earlier consultations on the new </w:t>
      </w:r>
      <w:r w:rsidR="00A95DE4">
        <w:t>F</w:t>
      </w:r>
      <w:r>
        <w:t xml:space="preserve">ramework: </w:t>
      </w:r>
    </w:p>
    <w:p w14:paraId="192E3C73" w14:textId="100E9B50" w:rsidR="00781E7A" w:rsidRDefault="00781E7A" w:rsidP="009B0325">
      <w:pPr>
        <w:pStyle w:val="ListParagraph"/>
        <w:numPr>
          <w:ilvl w:val="0"/>
          <w:numId w:val="34"/>
        </w:numPr>
        <w:jc w:val="both"/>
      </w:pPr>
      <w:r>
        <w:t>Facilitate learning and development</w:t>
      </w:r>
      <w:r w:rsidR="004E3256">
        <w:t xml:space="preserve"> by</w:t>
      </w:r>
      <w:r>
        <w:t xml:space="preserve"> outlining how the implementation of responsible investment within signatories compares year-on-year, across asset classes, and with peers at the local and global level; </w:t>
      </w:r>
    </w:p>
    <w:p w14:paraId="1DD1B81C" w14:textId="77777777" w:rsidR="00781E7A" w:rsidRDefault="00781E7A" w:rsidP="009B0325">
      <w:pPr>
        <w:pStyle w:val="ListParagraph"/>
        <w:numPr>
          <w:ilvl w:val="0"/>
          <w:numId w:val="34"/>
        </w:numPr>
        <w:jc w:val="both"/>
      </w:pPr>
      <w:r>
        <w:t>Identify areas for further improvement; and</w:t>
      </w:r>
    </w:p>
    <w:p w14:paraId="1190C3B8" w14:textId="1B6913B2" w:rsidR="00781E7A" w:rsidRDefault="00C33223" w:rsidP="00BD5757">
      <w:pPr>
        <w:pStyle w:val="ListParagraph"/>
        <w:numPr>
          <w:ilvl w:val="0"/>
          <w:numId w:val="34"/>
        </w:numPr>
        <w:spacing w:after="240"/>
        <w:jc w:val="both"/>
      </w:pPr>
      <w:r>
        <w:t xml:space="preserve">Strengthen the </w:t>
      </w:r>
      <w:r w:rsidR="00781E7A">
        <w:t xml:space="preserve">dialogue between asset owners and investment managers on responsible investment activities and capabilities. </w:t>
      </w:r>
    </w:p>
    <w:p w14:paraId="79B1307F" w14:textId="29256005" w:rsidR="00781E7A" w:rsidRDefault="00A95DE4" w:rsidP="009B0325">
      <w:pPr>
        <w:jc w:val="both"/>
      </w:pPr>
      <w:r>
        <w:t>T</w:t>
      </w:r>
      <w:r w:rsidR="00781E7A">
        <w:t>he PRI recognises that there are many valid approaches to responsible investment</w:t>
      </w:r>
      <w:r>
        <w:t xml:space="preserve"> and</w:t>
      </w:r>
      <w:r w:rsidR="00781E7A">
        <w:t xml:space="preserve"> signatories are at different stages of implementing the Principles. </w:t>
      </w:r>
      <w:r w:rsidR="00277A1C">
        <w:t>S</w:t>
      </w:r>
      <w:r w:rsidR="00781E7A">
        <w:t>ome are just starting to develop their policies while others already have detailed policies, processes and resources in place. The intention o</w:t>
      </w:r>
      <w:r w:rsidR="00577E9C">
        <w:t>f the A</w:t>
      </w:r>
      <w:r w:rsidR="00781E7A">
        <w:t xml:space="preserve">ssessment methodology is to reflect different stages of implementation in broad terms using </w:t>
      </w:r>
      <w:r w:rsidR="00732308">
        <w:t>six</w:t>
      </w:r>
      <w:r w:rsidR="00781E7A">
        <w:t xml:space="preserve"> standardised performance bands, rather than </w:t>
      </w:r>
      <w:r w:rsidR="00E46E98">
        <w:t xml:space="preserve">to </w:t>
      </w:r>
      <w:r w:rsidR="00781E7A">
        <w:t>make judgements about small differences between signatories at similar levels of implementation.</w:t>
      </w:r>
    </w:p>
    <w:p w14:paraId="1D9E835B" w14:textId="77777777" w:rsidR="00781E7A" w:rsidRDefault="00781E7A" w:rsidP="009B0325">
      <w:pPr>
        <w:pStyle w:val="Heading1"/>
        <w:jc w:val="both"/>
      </w:pPr>
      <w:bookmarkStart w:id="2" w:name="_Toc532309321"/>
      <w:r>
        <w:t>Assessment Design Principles</w:t>
      </w:r>
      <w:bookmarkEnd w:id="2"/>
    </w:p>
    <w:p w14:paraId="6522006A" w14:textId="6F6C12CA" w:rsidR="00781E7A" w:rsidRDefault="00781E7A" w:rsidP="009B0325">
      <w:pPr>
        <w:jc w:val="both"/>
      </w:pPr>
      <w:r>
        <w:t xml:space="preserve">During several consultations on the </w:t>
      </w:r>
      <w:r w:rsidR="00AE77ED">
        <w:t>A</w:t>
      </w:r>
      <w:r w:rsidR="005F3043">
        <w:t>ssessment methodology in</w:t>
      </w:r>
      <w:r>
        <w:t xml:space="preserve"> 2013</w:t>
      </w:r>
      <w:r w:rsidR="00C779D3">
        <w:t xml:space="preserve"> onwards</w:t>
      </w:r>
      <w:r>
        <w:t xml:space="preserve">, the </w:t>
      </w:r>
      <w:r w:rsidR="00EF3B9B">
        <w:t xml:space="preserve">RAAC </w:t>
      </w:r>
      <w:r>
        <w:t xml:space="preserve">and signatories made </w:t>
      </w:r>
      <w:r w:rsidR="001C0C86">
        <w:t xml:space="preserve">it </w:t>
      </w:r>
      <w:r>
        <w:t>clear that the design of the scoring system should be as easy to understand as possible. With this goal in mind, the methodology has been designed as follows:</w:t>
      </w:r>
    </w:p>
    <w:p w14:paraId="6476D1D9" w14:textId="2019BCA1" w:rsidR="00781E7A" w:rsidRDefault="00781E7A" w:rsidP="009B0325">
      <w:pPr>
        <w:pStyle w:val="ListParagraph"/>
        <w:numPr>
          <w:ilvl w:val="0"/>
          <w:numId w:val="35"/>
        </w:numPr>
        <w:jc w:val="both"/>
      </w:pPr>
      <w:r>
        <w:t>Each of the assessed modules will have a consistent scoring approach;</w:t>
      </w:r>
    </w:p>
    <w:p w14:paraId="3D5D6EE3" w14:textId="77777777" w:rsidR="00781E7A" w:rsidRDefault="00781E7A" w:rsidP="009B0325">
      <w:pPr>
        <w:pStyle w:val="ListParagraph"/>
        <w:numPr>
          <w:ilvl w:val="0"/>
          <w:numId w:val="35"/>
        </w:numPr>
        <w:jc w:val="both"/>
      </w:pPr>
      <w:r>
        <w:t>Equal weighting will be applied to individual indicators (where indicators include information</w:t>
      </w:r>
      <w:r w:rsidR="007A3132">
        <w:t xml:space="preserve"> about different practices, the practices</w:t>
      </w:r>
      <w:r>
        <w:t xml:space="preserve"> will be assessed separately but will be weighted equally);</w:t>
      </w:r>
    </w:p>
    <w:p w14:paraId="017D25AC" w14:textId="42E150B3" w:rsidR="00A22A5A" w:rsidRDefault="00781E7A" w:rsidP="00F25BB4">
      <w:pPr>
        <w:pStyle w:val="ListParagraph"/>
        <w:numPr>
          <w:ilvl w:val="0"/>
          <w:numId w:val="35"/>
        </w:numPr>
        <w:jc w:val="both"/>
      </w:pPr>
      <w:r>
        <w:t xml:space="preserve">Only closed-ended indicators </w:t>
      </w:r>
      <w:r w:rsidR="00087BDF">
        <w:t xml:space="preserve">are </w:t>
      </w:r>
      <w:r>
        <w:t>assessed</w:t>
      </w:r>
      <w:r w:rsidR="00F22B13">
        <w:t>.</w:t>
      </w:r>
      <w:r w:rsidR="00087BDF">
        <w:t xml:space="preserve"> </w:t>
      </w:r>
      <w:r w:rsidR="00783ACC">
        <w:t>Since 2015,</w:t>
      </w:r>
      <w:r w:rsidR="001C0780">
        <w:t xml:space="preserve"> </w:t>
      </w:r>
      <w:r w:rsidR="00783ACC">
        <w:t>six</w:t>
      </w:r>
      <w:r w:rsidR="00B45B0C">
        <w:t xml:space="preserve"> standardised performance B</w:t>
      </w:r>
      <w:r>
        <w:t>ands (</w:t>
      </w:r>
      <w:r w:rsidR="00990AE7">
        <w:t xml:space="preserve">A+, </w:t>
      </w:r>
      <w:r>
        <w:t xml:space="preserve">A, B, C </w:t>
      </w:r>
      <w:r w:rsidR="00783ACC">
        <w:t xml:space="preserve">D </w:t>
      </w:r>
      <w:r>
        <w:t xml:space="preserve">and </w:t>
      </w:r>
      <w:r w:rsidR="00783ACC">
        <w:t>E</w:t>
      </w:r>
      <w:r>
        <w:t xml:space="preserve">) </w:t>
      </w:r>
      <w:r w:rsidR="00783ACC">
        <w:t>are</w:t>
      </w:r>
      <w:r>
        <w:t xml:space="preserve"> used to communicate signatories’ performance at the module level. </w:t>
      </w:r>
      <w:r w:rsidR="00AE1D2D">
        <w:t xml:space="preserve">The band A+ </w:t>
      </w:r>
      <w:r w:rsidR="00B45E38">
        <w:t xml:space="preserve">and </w:t>
      </w:r>
      <w:r w:rsidR="00402C8D">
        <w:t xml:space="preserve">band </w:t>
      </w:r>
      <w:r w:rsidR="00B45E38">
        <w:t xml:space="preserve">E </w:t>
      </w:r>
      <w:proofErr w:type="gramStart"/>
      <w:r w:rsidR="00B45E38">
        <w:t xml:space="preserve">were </w:t>
      </w:r>
      <w:r w:rsidR="00AE1D2D">
        <w:t xml:space="preserve"> introduced</w:t>
      </w:r>
      <w:proofErr w:type="gramEnd"/>
      <w:r w:rsidR="00D534F4">
        <w:t xml:space="preserve"> that year</w:t>
      </w:r>
      <w:r w:rsidR="00AE1D2D">
        <w:t xml:space="preserve">  to distinguish and provide</w:t>
      </w:r>
      <w:r w:rsidR="00B45E38">
        <w:t xml:space="preserve"> signatories</w:t>
      </w:r>
      <w:r w:rsidR="00AE1D2D">
        <w:t xml:space="preserve"> with more granular feedback. </w:t>
      </w:r>
    </w:p>
    <w:p w14:paraId="2B8D5B89" w14:textId="063D8789" w:rsidR="00B45965" w:rsidRDefault="003E5C2F" w:rsidP="00F25BB4">
      <w:pPr>
        <w:pStyle w:val="ListParagraph"/>
        <w:numPr>
          <w:ilvl w:val="0"/>
          <w:numId w:val="35"/>
        </w:numPr>
        <w:jc w:val="both"/>
      </w:pPr>
      <w:r>
        <w:t>A signatory who has an asset class that represents</w:t>
      </w:r>
      <w:r w:rsidR="00A22A5A">
        <w:t xml:space="preserve"> less than 10% </w:t>
      </w:r>
      <w:r>
        <w:t xml:space="preserve">of its AUM </w:t>
      </w:r>
      <w:r w:rsidR="001334D0">
        <w:t xml:space="preserve">(for which a dedicated module exists in the Reporting Framework) </w:t>
      </w:r>
      <w:r>
        <w:t>but choose</w:t>
      </w:r>
      <w:r w:rsidR="00B45E38">
        <w:t>s not</w:t>
      </w:r>
      <w:r>
        <w:t xml:space="preserve"> to report on it will have the asset class marked “Not reported” in the Summary Scorecard. </w:t>
      </w:r>
    </w:p>
    <w:p w14:paraId="36F42944" w14:textId="77777777" w:rsidR="00781E7A" w:rsidRDefault="00781E7A" w:rsidP="00B45965">
      <w:pPr>
        <w:ind w:left="357" w:hanging="357"/>
        <w:jc w:val="both"/>
      </w:pPr>
    </w:p>
    <w:p w14:paraId="4FDFF4A3" w14:textId="77777777" w:rsidR="00781E7A" w:rsidRDefault="00781E7A">
      <w:pPr>
        <w:widowControl/>
        <w:autoSpaceDE/>
        <w:autoSpaceDN/>
        <w:adjustRightInd/>
        <w:spacing w:before="0" w:after="0" w:line="240" w:lineRule="auto"/>
      </w:pPr>
      <w:r>
        <w:br w:type="page"/>
      </w:r>
    </w:p>
    <w:p w14:paraId="5DB8F05F" w14:textId="77777777" w:rsidR="00781E7A" w:rsidRDefault="00781E7A" w:rsidP="00781E7A">
      <w:pPr>
        <w:pStyle w:val="Heading1"/>
      </w:pPr>
      <w:bookmarkStart w:id="3" w:name="_Toc532309322"/>
      <w:r>
        <w:lastRenderedPageBreak/>
        <w:t>Assessment Methodology</w:t>
      </w:r>
      <w:bookmarkEnd w:id="3"/>
    </w:p>
    <w:p w14:paraId="1AEA6094" w14:textId="77777777" w:rsidR="00781E7A" w:rsidRDefault="00781E7A" w:rsidP="00781E7A">
      <w:pPr>
        <w:pStyle w:val="Heading2"/>
      </w:pPr>
      <w:bookmarkStart w:id="4" w:name="_Toc532309323"/>
      <w:r>
        <w:t>Overview</w:t>
      </w:r>
      <w:bookmarkEnd w:id="4"/>
    </w:p>
    <w:p w14:paraId="2C87CF1B" w14:textId="77777777" w:rsidR="00781E7A" w:rsidRDefault="00781E7A" w:rsidP="009B0325">
      <w:pPr>
        <w:jc w:val="both"/>
      </w:pPr>
      <w:r>
        <w:t>Each module will contain two types of assessed indicators:</w:t>
      </w:r>
    </w:p>
    <w:p w14:paraId="71210144" w14:textId="6FA84F40" w:rsidR="00781E7A" w:rsidRDefault="00781E7A" w:rsidP="009B0325">
      <w:pPr>
        <w:pStyle w:val="ListParagraph"/>
        <w:numPr>
          <w:ilvl w:val="0"/>
          <w:numId w:val="36"/>
        </w:numPr>
        <w:jc w:val="both"/>
      </w:pPr>
      <w:r w:rsidRPr="00D2150C">
        <w:rPr>
          <w:b/>
        </w:rPr>
        <w:t>Core assessed</w:t>
      </w:r>
      <w:r>
        <w:t>: all signatories will be assessed on these indicators and they will make up the majority</w:t>
      </w:r>
      <w:r w:rsidR="000900CD">
        <w:t xml:space="preserve"> (~75%)</w:t>
      </w:r>
      <w:r>
        <w:t xml:space="preserve"> of their overall assessment score for each module. These indicators will frequently, but not always, be mandatory to disclose</w:t>
      </w:r>
      <w:r w:rsidR="00277A1C">
        <w:t>. C</w:t>
      </w:r>
      <w:r>
        <w:t>ompleting the</w:t>
      </w:r>
      <w:r w:rsidR="00277A1C">
        <w:t>se indicators</w:t>
      </w:r>
      <w:r>
        <w:t xml:space="preserve"> and demonstrating advanced levels of implementation will enable a signatory to reach </w:t>
      </w:r>
      <w:r w:rsidR="00B45B0C">
        <w:t xml:space="preserve">the </w:t>
      </w:r>
      <w:r w:rsidR="00F43DAF">
        <w:t>third</w:t>
      </w:r>
      <w:r w:rsidR="00B45B0C">
        <w:t>-highest performance B</w:t>
      </w:r>
      <w:r>
        <w:t>and (B); and</w:t>
      </w:r>
    </w:p>
    <w:p w14:paraId="1A3A9254" w14:textId="485D2764" w:rsidR="00781E7A" w:rsidRDefault="00781E7A" w:rsidP="00BD5757">
      <w:pPr>
        <w:pStyle w:val="ListParagraph"/>
        <w:numPr>
          <w:ilvl w:val="0"/>
          <w:numId w:val="36"/>
        </w:numPr>
        <w:spacing w:after="240"/>
        <w:jc w:val="both"/>
      </w:pPr>
      <w:r w:rsidRPr="00D2150C">
        <w:rPr>
          <w:b/>
        </w:rPr>
        <w:t>Additional assessed</w:t>
      </w:r>
      <w:r>
        <w:t xml:space="preserve">: signatories can </w:t>
      </w:r>
      <w:r w:rsidR="00B45B0C">
        <w:t xml:space="preserve">generally </w:t>
      </w:r>
      <w:r>
        <w:t xml:space="preserve">complete these indicators if they wish (i.e. they will </w:t>
      </w:r>
      <w:r w:rsidR="00EF0F20">
        <w:t>usually</w:t>
      </w:r>
      <w:r w:rsidR="00B45B0C">
        <w:t xml:space="preserve"> </w:t>
      </w:r>
      <w:r>
        <w:t xml:space="preserve">be ‘voluntary to report’) and they will provide an opportunity to demonstrate more advanced stages of implementation or reflect alternative practices. Scores from these indicators can only add to the final score for each module, and when combined with their scores on </w:t>
      </w:r>
      <w:r w:rsidR="009A777E">
        <w:t>C</w:t>
      </w:r>
      <w:r>
        <w:t>ore assessed indicators, have the potential to push signatories into a higher performance band (see ‘</w:t>
      </w:r>
      <w:r w:rsidR="00B45B0C" w:rsidRPr="00B45B0C">
        <w:t>Assessing and Discarding Additional Indicators</w:t>
      </w:r>
      <w:r>
        <w:t>’ below). To achieve th</w:t>
      </w:r>
      <w:r w:rsidR="00B45B0C">
        <w:t>e highest possible B</w:t>
      </w:r>
      <w:r>
        <w:t>and</w:t>
      </w:r>
      <w:r w:rsidR="00F43DAF">
        <w:t>s</w:t>
      </w:r>
      <w:r>
        <w:t xml:space="preserve"> (A</w:t>
      </w:r>
      <w:r w:rsidR="00F43DAF">
        <w:t xml:space="preserve"> and A+</w:t>
      </w:r>
      <w:r>
        <w:t xml:space="preserve">), a signatory will need to complete </w:t>
      </w:r>
      <w:r w:rsidR="00EF0F20">
        <w:t xml:space="preserve">and score well on </w:t>
      </w:r>
      <w:r>
        <w:t>some</w:t>
      </w:r>
      <w:r w:rsidR="00EF0F20">
        <w:t>, but not all,</w:t>
      </w:r>
      <w:r>
        <w:t xml:space="preserve"> of these indicator</w:t>
      </w:r>
      <w:r w:rsidR="00EF0F20">
        <w:t>s.</w:t>
      </w:r>
    </w:p>
    <w:p w14:paraId="540C6779" w14:textId="77777777" w:rsidR="00781E7A" w:rsidRDefault="00781E7A" w:rsidP="009B0325">
      <w:pPr>
        <w:jc w:val="both"/>
      </w:pPr>
      <w:r>
        <w:t>Further indicators will capture information to enable comparison of signatory responses (known as ‘peering indicators’) while others will help determine whether a signatory needs to complete further indicators or sub-indicators in later stages of the framework (known as ‘gateway indicators’). Although these indicators will not be assessed, they may impact which assessed indicators signatories complete and the types of organisations they will be peered against. Both types of indicator will always be mandatory to report but will only be mandatory to disclose where appropriate.</w:t>
      </w:r>
    </w:p>
    <w:p w14:paraId="7AEA6751" w14:textId="77777777" w:rsidR="00781E7A" w:rsidRDefault="00781E7A" w:rsidP="009B0325">
      <w:pPr>
        <w:pStyle w:val="Heading2"/>
        <w:jc w:val="both"/>
      </w:pPr>
      <w:bookmarkStart w:id="5" w:name="_Toc532309324"/>
      <w:r>
        <w:t>Indicator Scoring</w:t>
      </w:r>
      <w:bookmarkEnd w:id="5"/>
    </w:p>
    <w:p w14:paraId="3C7CF474" w14:textId="002A2445" w:rsidR="009A0436" w:rsidRDefault="00781E7A" w:rsidP="009B0325">
      <w:pPr>
        <w:jc w:val="both"/>
      </w:pPr>
      <w:r>
        <w:t>Signatories will receive a score for each ‘</w:t>
      </w:r>
      <w:r w:rsidR="009A777E">
        <w:t>C</w:t>
      </w:r>
      <w:r>
        <w:t>ore assessed’ and ‘</w:t>
      </w:r>
      <w:r w:rsidR="009A777E">
        <w:t>A</w:t>
      </w:r>
      <w:r>
        <w:t xml:space="preserve">dditional assessed’ indicator in </w:t>
      </w:r>
      <w:r w:rsidR="00FC6ECD">
        <w:t>every relevant</w:t>
      </w:r>
      <w:r>
        <w:t xml:space="preserve"> module</w:t>
      </w:r>
      <w:r w:rsidR="00EF1384">
        <w:t>. The score falls into</w:t>
      </w:r>
      <w:r>
        <w:t xml:space="preserve"> four categories, ranging from </w:t>
      </w:r>
      <w:r w:rsidR="00365ECE" w:rsidRPr="00006A46">
        <w:rPr>
          <w:noProof/>
          <w:lang w:eastAsia="en-GB"/>
        </w:rPr>
        <w:drawing>
          <wp:inline distT="0" distB="0" distL="0" distR="0" wp14:anchorId="0280CB53" wp14:editId="2204DBE3">
            <wp:extent cx="469445" cy="14287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tar.png"/>
                    <pic:cNvPicPr/>
                  </pic:nvPicPr>
                  <pic:blipFill>
                    <a:blip r:embed="rId14">
                      <a:extLst>
                        <a:ext uri="{28A0092B-C50C-407E-A947-70E740481C1C}">
                          <a14:useLocalDpi xmlns:a14="http://schemas.microsoft.com/office/drawing/2010/main" val="0"/>
                        </a:ext>
                      </a:extLst>
                    </a:blip>
                    <a:stretch>
                      <a:fillRect/>
                    </a:stretch>
                  </pic:blipFill>
                  <pic:spPr>
                    <a:xfrm>
                      <a:off x="0" y="0"/>
                      <a:ext cx="478983" cy="145778"/>
                    </a:xfrm>
                    <a:prstGeom prst="rect">
                      <a:avLst/>
                    </a:prstGeom>
                  </pic:spPr>
                </pic:pic>
              </a:graphicData>
            </a:graphic>
          </wp:inline>
        </w:drawing>
      </w:r>
      <w:r w:rsidR="00365ECE">
        <w:t xml:space="preserve"> </w:t>
      </w:r>
      <w:r>
        <w:t xml:space="preserve">(no stars) to </w:t>
      </w:r>
      <w:r w:rsidR="00365ECE" w:rsidRPr="00006A46">
        <w:rPr>
          <w:noProof/>
          <w:lang w:eastAsia="en-GB"/>
        </w:rPr>
        <w:drawing>
          <wp:inline distT="0" distB="0" distL="0" distR="0" wp14:anchorId="2F7457CE" wp14:editId="1D593721">
            <wp:extent cx="437899" cy="1333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ta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7054" cy="136138"/>
                    </a:xfrm>
                    <a:prstGeom prst="rect">
                      <a:avLst/>
                    </a:prstGeom>
                  </pic:spPr>
                </pic:pic>
              </a:graphicData>
            </a:graphic>
          </wp:inline>
        </w:drawing>
      </w:r>
      <w:r>
        <w:t xml:space="preserve"> (three stars). For binary indicators with only ‘Yes</w:t>
      </w:r>
      <w:r w:rsidR="00FC6ECD">
        <w:t>’</w:t>
      </w:r>
      <w:r>
        <w:t>/</w:t>
      </w:r>
      <w:r w:rsidR="00FC6ECD">
        <w:t>’</w:t>
      </w:r>
      <w:r>
        <w:t>No’ response options, these will be the only two scores available</w:t>
      </w:r>
      <w:r w:rsidR="000C268B">
        <w:t xml:space="preserve"> (respectively 3 stars/0</w:t>
      </w:r>
      <w:r w:rsidR="000A3CED">
        <w:t xml:space="preserve"> </w:t>
      </w:r>
      <w:r w:rsidR="000C268B">
        <w:t>star).</w:t>
      </w:r>
    </w:p>
    <w:p w14:paraId="49565D75" w14:textId="6C36B2B5" w:rsidR="00F91542" w:rsidRDefault="00B45E38" w:rsidP="009B0325">
      <w:pPr>
        <w:jc w:val="both"/>
      </w:pPr>
      <w:r>
        <w:t>A</w:t>
      </w:r>
      <w:r w:rsidR="009A0436">
        <w:t xml:space="preserve">n indicator can </w:t>
      </w:r>
      <w:r>
        <w:t xml:space="preserve">also </w:t>
      </w:r>
      <w:r w:rsidR="009A0436">
        <w:t xml:space="preserve">be </w:t>
      </w:r>
      <w:r>
        <w:t>scored as</w:t>
      </w:r>
      <w:r w:rsidR="009A0436">
        <w:t xml:space="preserve"> “not applicable” in the </w:t>
      </w:r>
      <w:r w:rsidR="009B57C4">
        <w:t>Indicator Scorecard because the</w:t>
      </w:r>
      <w:r>
        <w:t xml:space="preserve"> indicator is not relevant to the signatory</w:t>
      </w:r>
      <w:r w:rsidR="009B57C4">
        <w:t xml:space="preserve"> based on </w:t>
      </w:r>
      <w:r w:rsidR="003E6AC4">
        <w:t>i</w:t>
      </w:r>
      <w:r w:rsidR="00B97377">
        <w:t>ts</w:t>
      </w:r>
      <w:r w:rsidR="009B57C4">
        <w:t xml:space="preserve"> </w:t>
      </w:r>
      <w:r w:rsidR="00C03E1D">
        <w:t xml:space="preserve">reporting </w:t>
      </w:r>
      <w:r w:rsidR="009B57C4">
        <w:t xml:space="preserve">answers. In such </w:t>
      </w:r>
      <w:r w:rsidR="00EA5A29">
        <w:t>case</w:t>
      </w:r>
      <w:r w:rsidR="009B57C4">
        <w:t xml:space="preserve">, the indicator will </w:t>
      </w:r>
      <w:r w:rsidR="00736389">
        <w:t xml:space="preserve">not </w:t>
      </w:r>
      <w:r w:rsidR="009B57C4">
        <w:t xml:space="preserve">be </w:t>
      </w:r>
      <w:proofErr w:type="gramStart"/>
      <w:r w:rsidR="009B57C4">
        <w:t>taken into account</w:t>
      </w:r>
      <w:proofErr w:type="gramEnd"/>
      <w:r w:rsidR="009B57C4">
        <w:t xml:space="preserve"> in calculating the module </w:t>
      </w:r>
      <w:r w:rsidR="00802484">
        <w:t>performance band</w:t>
      </w:r>
      <w:r w:rsidR="009B57C4">
        <w:t>.</w:t>
      </w:r>
    </w:p>
    <w:p w14:paraId="5A24EE28" w14:textId="77777777" w:rsidR="00F91542" w:rsidRDefault="00F91542" w:rsidP="009B0325">
      <w:pPr>
        <w:jc w:val="both"/>
      </w:pPr>
    </w:p>
    <w:p w14:paraId="701A7703" w14:textId="77777777" w:rsidR="00F91542" w:rsidRDefault="00F91542" w:rsidP="009B0325">
      <w:pPr>
        <w:jc w:val="both"/>
      </w:pPr>
    </w:p>
    <w:p w14:paraId="35AF9356" w14:textId="77777777" w:rsidR="00F91542" w:rsidRDefault="00F91542" w:rsidP="009B0325">
      <w:pPr>
        <w:jc w:val="both"/>
      </w:pPr>
    </w:p>
    <w:p w14:paraId="0D8A90E1" w14:textId="38BD0EF4" w:rsidR="00781E7A" w:rsidRDefault="00781E7A" w:rsidP="009B0325">
      <w:pPr>
        <w:jc w:val="both"/>
      </w:pPr>
    </w:p>
    <w:p w14:paraId="17E4C45C" w14:textId="77777777" w:rsidR="00781E7A" w:rsidRDefault="00781E7A" w:rsidP="00445E4B">
      <w:pPr>
        <w:pStyle w:val="Heading3"/>
      </w:pPr>
      <w:bookmarkStart w:id="6" w:name="_Toc532309325"/>
      <w:r>
        <w:lastRenderedPageBreak/>
        <w:t>Indicator Scorecard</w:t>
      </w:r>
      <w:bookmarkEnd w:id="6"/>
    </w:p>
    <w:p w14:paraId="3E4DAEE0" w14:textId="0EDB05E2" w:rsidR="00781E7A" w:rsidRDefault="00781E7A" w:rsidP="009B0325">
      <w:pPr>
        <w:jc w:val="both"/>
      </w:pPr>
      <w:r>
        <w:t>An indicator scorecard will summarise the scores achieved for all ‘</w:t>
      </w:r>
      <w:r w:rsidR="008618D6">
        <w:t>C</w:t>
      </w:r>
      <w:r>
        <w:t>ore’ and ‘</w:t>
      </w:r>
      <w:r w:rsidR="008618D6">
        <w:t>A</w:t>
      </w:r>
      <w:r>
        <w:t xml:space="preserve">dditional assessed’ indicators completed within </w:t>
      </w:r>
      <w:r w:rsidR="00FC6ECD">
        <w:t>a</w:t>
      </w:r>
      <w:r>
        <w:t xml:space="preserve"> module on an absolute basis. It will also provide basic information about the </w:t>
      </w:r>
      <w:r w:rsidR="00EE73F9">
        <w:t xml:space="preserve">relative </w:t>
      </w:r>
      <w:r>
        <w:t xml:space="preserve">performance of the organisation </w:t>
      </w:r>
      <w:r w:rsidR="00EF0F20">
        <w:t>compared to</w:t>
      </w:r>
      <w:r w:rsidR="00464DC0">
        <w:t xml:space="preserve"> that of</w:t>
      </w:r>
      <w:r w:rsidR="00EF0F20">
        <w:t xml:space="preserve"> </w:t>
      </w:r>
      <w:r>
        <w:t xml:space="preserve">other signatories </w:t>
      </w:r>
      <w:r w:rsidR="00732C7A">
        <w:t>for which that indicator is relevant</w:t>
      </w:r>
      <w:r>
        <w:t>. When less than eight signatories respond to an indicator, the median peer score will not be displayed to protect confidentiality. A sample scorecard</w:t>
      </w:r>
      <w:r w:rsidR="003F3F4F">
        <w:t xml:space="preserve"> (Strategy &amp; Governance module)</w:t>
      </w:r>
      <w:r>
        <w:t xml:space="preserve"> is presented below.</w:t>
      </w:r>
    </w:p>
    <w:p w14:paraId="453A9CB8" w14:textId="47F3887F" w:rsidR="00D2150C" w:rsidRDefault="00D2150C">
      <w:pPr>
        <w:widowControl/>
        <w:autoSpaceDE/>
        <w:autoSpaceDN/>
        <w:adjustRightInd/>
        <w:spacing w:before="0" w:after="0" w:line="240" w:lineRule="auto"/>
      </w:pPr>
    </w:p>
    <w:p w14:paraId="662761C0" w14:textId="6A3F14CF" w:rsidR="00ED1B18" w:rsidRDefault="00ED1B18">
      <w:pPr>
        <w:widowControl/>
        <w:autoSpaceDE/>
        <w:autoSpaceDN/>
        <w:adjustRightInd/>
        <w:spacing w:before="0" w:after="0" w:line="240" w:lineRule="auto"/>
      </w:pPr>
      <w:r>
        <w:rPr>
          <w:noProof/>
        </w:rPr>
        <w:drawing>
          <wp:inline distT="0" distB="0" distL="0" distR="0" wp14:anchorId="62B0A2D1" wp14:editId="6A41D112">
            <wp:extent cx="5457825" cy="6353175"/>
            <wp:effectExtent l="19050" t="19050" r="2857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57825" cy="6353175"/>
                    </a:xfrm>
                    <a:prstGeom prst="rect">
                      <a:avLst/>
                    </a:prstGeom>
                    <a:ln>
                      <a:solidFill>
                        <a:schemeClr val="bg1">
                          <a:lumMod val="75000"/>
                        </a:schemeClr>
                      </a:solidFill>
                    </a:ln>
                  </pic:spPr>
                </pic:pic>
              </a:graphicData>
            </a:graphic>
          </wp:inline>
        </w:drawing>
      </w:r>
    </w:p>
    <w:p w14:paraId="18BF7369" w14:textId="5C3C46FE" w:rsidR="00896D66" w:rsidRDefault="00896D66" w:rsidP="0031250E">
      <w:pPr>
        <w:widowControl/>
        <w:autoSpaceDE/>
        <w:autoSpaceDN/>
        <w:adjustRightInd/>
        <w:spacing w:before="0" w:after="0" w:line="240" w:lineRule="auto"/>
        <w:rPr>
          <w:b/>
        </w:rPr>
      </w:pPr>
    </w:p>
    <w:p w14:paraId="0F7C7497" w14:textId="3AB97994" w:rsidR="00B24B07" w:rsidRDefault="00B24B07" w:rsidP="0031250E">
      <w:pPr>
        <w:widowControl/>
        <w:autoSpaceDE/>
        <w:autoSpaceDN/>
        <w:adjustRightInd/>
        <w:spacing w:before="0" w:after="0" w:line="240" w:lineRule="auto"/>
        <w:rPr>
          <w:b/>
        </w:rPr>
      </w:pPr>
    </w:p>
    <w:p w14:paraId="7879FABA" w14:textId="65D287B6" w:rsidR="00B24B07" w:rsidRDefault="00B24B07" w:rsidP="0031250E">
      <w:pPr>
        <w:widowControl/>
        <w:autoSpaceDE/>
        <w:autoSpaceDN/>
        <w:adjustRightInd/>
        <w:spacing w:before="0" w:after="0" w:line="240" w:lineRule="auto"/>
        <w:rPr>
          <w:b/>
        </w:rPr>
      </w:pPr>
    </w:p>
    <w:p w14:paraId="58AD3E36" w14:textId="462CB8B1" w:rsidR="00B24B07" w:rsidRDefault="00B24B07" w:rsidP="0031250E">
      <w:pPr>
        <w:widowControl/>
        <w:autoSpaceDE/>
        <w:autoSpaceDN/>
        <w:adjustRightInd/>
        <w:spacing w:before="0" w:after="0" w:line="240" w:lineRule="auto"/>
        <w:rPr>
          <w:b/>
        </w:rPr>
      </w:pPr>
    </w:p>
    <w:p w14:paraId="3CB630CC" w14:textId="6DB3C04A" w:rsidR="00B24B07" w:rsidRDefault="00B24B07" w:rsidP="0031250E">
      <w:pPr>
        <w:widowControl/>
        <w:autoSpaceDE/>
        <w:autoSpaceDN/>
        <w:adjustRightInd/>
        <w:spacing w:before="0" w:after="0" w:line="240" w:lineRule="auto"/>
        <w:rPr>
          <w:b/>
        </w:rPr>
      </w:pPr>
    </w:p>
    <w:p w14:paraId="23E4BE83" w14:textId="77777777" w:rsidR="00B24B07" w:rsidRDefault="00B24B07" w:rsidP="0031250E">
      <w:pPr>
        <w:widowControl/>
        <w:autoSpaceDE/>
        <w:autoSpaceDN/>
        <w:adjustRightInd/>
        <w:spacing w:before="0" w:after="0" w:line="240" w:lineRule="auto"/>
        <w:rPr>
          <w:b/>
        </w:rPr>
      </w:pPr>
    </w:p>
    <w:p w14:paraId="03BB344D" w14:textId="77777777" w:rsidR="0031250E" w:rsidRDefault="0031250E" w:rsidP="0031250E">
      <w:pPr>
        <w:widowControl/>
        <w:autoSpaceDE/>
        <w:autoSpaceDN/>
        <w:adjustRightInd/>
        <w:spacing w:before="0" w:after="0" w:line="240" w:lineRule="auto"/>
        <w:rPr>
          <w:b/>
        </w:rPr>
      </w:pPr>
      <w:r w:rsidRPr="000B2525">
        <w:rPr>
          <w:b/>
        </w:rPr>
        <w:t>Explanatory Notes</w:t>
      </w:r>
    </w:p>
    <w:p w14:paraId="3FD22771" w14:textId="77777777" w:rsidR="000B2525" w:rsidRPr="000B2525" w:rsidRDefault="000B2525" w:rsidP="0031250E">
      <w:pPr>
        <w:widowControl/>
        <w:autoSpaceDE/>
        <w:autoSpaceDN/>
        <w:adjustRightInd/>
        <w:spacing w:before="0" w:after="0" w:line="240" w:lineRule="auto"/>
        <w:rPr>
          <w:b/>
        </w:rPr>
      </w:pPr>
    </w:p>
    <w:p w14:paraId="7C40001A" w14:textId="77777777" w:rsidR="0031250E" w:rsidRDefault="0031250E" w:rsidP="009B0325">
      <w:pPr>
        <w:widowControl/>
        <w:autoSpaceDE/>
        <w:autoSpaceDN/>
        <w:adjustRightInd/>
        <w:spacing w:before="0" w:after="120" w:line="240" w:lineRule="auto"/>
        <w:jc w:val="both"/>
      </w:pPr>
      <w:r w:rsidRPr="000B2525">
        <w:rPr>
          <w:b/>
        </w:rPr>
        <w:t>Section</w:t>
      </w:r>
      <w:r w:rsidR="00972121">
        <w:t xml:space="preserve"> </w:t>
      </w:r>
      <w:r w:rsidR="00972121">
        <w:tab/>
      </w:r>
      <w:r w:rsidR="00972121">
        <w:tab/>
        <w:t xml:space="preserve">Where </w:t>
      </w:r>
      <w:r>
        <w:t>the indicator appears within the module</w:t>
      </w:r>
    </w:p>
    <w:p w14:paraId="3E50CE6C" w14:textId="77777777" w:rsidR="0031250E" w:rsidRDefault="0031250E" w:rsidP="009B0325">
      <w:pPr>
        <w:widowControl/>
        <w:autoSpaceDE/>
        <w:autoSpaceDN/>
        <w:adjustRightInd/>
        <w:spacing w:before="0" w:after="120" w:line="240" w:lineRule="auto"/>
        <w:jc w:val="both"/>
      </w:pPr>
      <w:r w:rsidRPr="000B2525">
        <w:rPr>
          <w:b/>
        </w:rPr>
        <w:t>Number</w:t>
      </w:r>
      <w:r>
        <w:tab/>
      </w:r>
      <w:r>
        <w:tab/>
        <w:t>Indicator number</w:t>
      </w:r>
    </w:p>
    <w:p w14:paraId="3D0BCB25" w14:textId="41C7F62C" w:rsidR="0031250E" w:rsidRDefault="0031250E" w:rsidP="009B0325">
      <w:pPr>
        <w:widowControl/>
        <w:autoSpaceDE/>
        <w:autoSpaceDN/>
        <w:adjustRightInd/>
        <w:spacing w:before="0" w:after="120" w:line="240" w:lineRule="auto"/>
        <w:jc w:val="both"/>
      </w:pPr>
      <w:r w:rsidRPr="000B2525">
        <w:rPr>
          <w:b/>
        </w:rPr>
        <w:t>Type</w:t>
      </w:r>
      <w:r>
        <w:tab/>
      </w:r>
      <w:r>
        <w:tab/>
      </w:r>
      <w:r>
        <w:tab/>
        <w:t>Whether the indicator assessment type is “</w:t>
      </w:r>
      <w:r w:rsidR="007870F4">
        <w:t>C</w:t>
      </w:r>
      <w:r>
        <w:t>ore” or “</w:t>
      </w:r>
      <w:r w:rsidR="007870F4">
        <w:t>A</w:t>
      </w:r>
      <w:r>
        <w:t>dditional”</w:t>
      </w:r>
    </w:p>
    <w:p w14:paraId="087D0FFB" w14:textId="77777777" w:rsidR="0031250E" w:rsidRDefault="0031250E" w:rsidP="009B0325">
      <w:pPr>
        <w:widowControl/>
        <w:autoSpaceDE/>
        <w:autoSpaceDN/>
        <w:adjustRightInd/>
        <w:spacing w:before="0" w:after="120" w:line="240" w:lineRule="auto"/>
        <w:jc w:val="both"/>
      </w:pPr>
      <w:r w:rsidRPr="000B2525">
        <w:rPr>
          <w:b/>
        </w:rPr>
        <w:t>Topic</w:t>
      </w:r>
      <w:r>
        <w:t xml:space="preserve"> </w:t>
      </w:r>
      <w:r>
        <w:tab/>
      </w:r>
      <w:r>
        <w:tab/>
      </w:r>
      <w:r>
        <w:tab/>
      </w:r>
      <w:r w:rsidR="00972121">
        <w:t>A short overview of w</w:t>
      </w:r>
      <w:r>
        <w:t>hat the indicator covers</w:t>
      </w:r>
    </w:p>
    <w:p w14:paraId="40DAB2E0" w14:textId="77777777" w:rsidR="0031250E" w:rsidRDefault="0031250E" w:rsidP="009B0325">
      <w:pPr>
        <w:widowControl/>
        <w:autoSpaceDE/>
        <w:autoSpaceDN/>
        <w:adjustRightInd/>
        <w:spacing w:before="0" w:after="120" w:line="240" w:lineRule="auto"/>
        <w:ind w:left="2127" w:hanging="2127"/>
        <w:jc w:val="both"/>
      </w:pPr>
      <w:r w:rsidRPr="000B2525">
        <w:rPr>
          <w:b/>
        </w:rPr>
        <w:t>Median Peer Score</w:t>
      </w:r>
      <w:r>
        <w:t xml:space="preserve"> </w:t>
      </w:r>
      <w:r>
        <w:tab/>
        <w:t xml:space="preserve">The signatory’s positioning relative to all other organisations </w:t>
      </w:r>
      <w:r w:rsidR="00400F50">
        <w:t>for which that indicator was relevant</w:t>
      </w:r>
      <w:r>
        <w:t xml:space="preserve"> (number in brackets denotes the number of organisations that responded to that indicator) </w:t>
      </w:r>
    </w:p>
    <w:p w14:paraId="210D190A" w14:textId="2F3BCE1A" w:rsidR="0031250E" w:rsidRDefault="0031250E" w:rsidP="009B0325">
      <w:pPr>
        <w:widowControl/>
        <w:autoSpaceDE/>
        <w:autoSpaceDN/>
        <w:adjustRightInd/>
        <w:spacing w:before="0" w:after="120" w:line="240" w:lineRule="auto"/>
        <w:jc w:val="both"/>
      </w:pPr>
      <w:r w:rsidRPr="000B2525">
        <w:rPr>
          <w:b/>
        </w:rPr>
        <w:t>Your Score</w:t>
      </w:r>
      <w:r w:rsidR="00F07747">
        <w:rPr>
          <w:b/>
        </w:rPr>
        <w:tab/>
      </w:r>
      <w:r w:rsidR="00D56B51">
        <w:rPr>
          <w:b/>
        </w:rPr>
        <w:tab/>
      </w:r>
      <w:r>
        <w:t>Signatory’s indicator score (on a scale of zero to three stars)</w:t>
      </w:r>
    </w:p>
    <w:p w14:paraId="0E864A0F" w14:textId="245E864D" w:rsidR="0031250E" w:rsidRDefault="0031250E" w:rsidP="00D27CD4">
      <w:pPr>
        <w:widowControl/>
        <w:autoSpaceDE/>
        <w:autoSpaceDN/>
        <w:adjustRightInd/>
        <w:spacing w:before="0" w:after="0" w:line="240" w:lineRule="auto"/>
        <w:ind w:left="2127" w:hanging="2127"/>
        <w:jc w:val="both"/>
      </w:pPr>
      <w:r w:rsidRPr="000B2525">
        <w:rPr>
          <w:b/>
        </w:rPr>
        <w:t xml:space="preserve">YoY </w:t>
      </w:r>
      <w:r w:rsidR="00D27CD4">
        <w:tab/>
      </w:r>
      <w:r>
        <w:t>Signatory’s year-on-year performance for that indicator</w:t>
      </w:r>
      <w:r w:rsidR="00E755E6">
        <w:t xml:space="preserve"> </w:t>
      </w:r>
      <w:r w:rsidR="00D27CD4">
        <w:t xml:space="preserve">(not available until </w:t>
      </w:r>
      <w:r w:rsidR="00EF0F20">
        <w:t xml:space="preserve">a signatory has completed </w:t>
      </w:r>
      <w:r w:rsidR="00D27CD4">
        <w:t>two complete reporting cycle</w:t>
      </w:r>
      <w:r w:rsidR="00EF0F20">
        <w:t>s</w:t>
      </w:r>
      <w:r w:rsidR="009C644C">
        <w:t>)</w:t>
      </w:r>
    </w:p>
    <w:p w14:paraId="6611D23C" w14:textId="36428899" w:rsidR="00AB08EC" w:rsidRDefault="00AB08EC" w:rsidP="00AB08EC">
      <w:pPr>
        <w:pStyle w:val="Heading2"/>
      </w:pPr>
      <w:bookmarkStart w:id="7" w:name="_Toc532309327"/>
      <w:r w:rsidRPr="00907ADD">
        <w:t>Module Scor</w:t>
      </w:r>
      <w:r w:rsidR="00445E4B" w:rsidRPr="00907ADD">
        <w:t>ing</w:t>
      </w:r>
      <w:bookmarkEnd w:id="7"/>
    </w:p>
    <w:p w14:paraId="54BB2AC7" w14:textId="44A997C1" w:rsidR="004D21ED" w:rsidRDefault="004B2CF2" w:rsidP="00445E4B">
      <w:pPr>
        <w:jc w:val="both"/>
      </w:pPr>
      <w:r>
        <w:t xml:space="preserve">Each signatory’s module score </w:t>
      </w:r>
      <w:r w:rsidR="009534B4">
        <w:t xml:space="preserve">will fall in </w:t>
      </w:r>
      <w:r w:rsidR="00C948AA">
        <w:t>six</w:t>
      </w:r>
      <w:r w:rsidR="009534B4">
        <w:t xml:space="preserve"> broad ranges to be assigned based on the</w:t>
      </w:r>
      <w:r w:rsidR="00907ADD">
        <w:t>ir</w:t>
      </w:r>
      <w:r w:rsidR="009534B4">
        <w:t xml:space="preserve"> score in a specific module</w:t>
      </w:r>
      <w:r w:rsidR="00D27B82">
        <w:t xml:space="preserve"> (presented below). </w:t>
      </w:r>
      <w:r w:rsidR="004D1CD5">
        <w:t xml:space="preserve">Only the final </w:t>
      </w:r>
      <w:r w:rsidR="00136D3C">
        <w:t xml:space="preserve">performance </w:t>
      </w:r>
      <w:r w:rsidR="004D1CD5">
        <w:t xml:space="preserve">band – and not the percentage </w:t>
      </w:r>
      <w:r w:rsidR="00907ADD">
        <w:t>–</w:t>
      </w:r>
      <w:r w:rsidR="004D1CD5">
        <w:t xml:space="preserve"> will be included in the assessment report.</w:t>
      </w:r>
    </w:p>
    <w:p w14:paraId="2B64EC1C" w14:textId="77777777" w:rsidR="004D21ED" w:rsidRDefault="004D21ED" w:rsidP="00445E4B">
      <w:pPr>
        <w:jc w:val="both"/>
      </w:pPr>
      <w:r w:rsidRPr="0038578B">
        <w:rPr>
          <w:noProof/>
          <w:lang w:eastAsia="en-GB"/>
        </w:rPr>
        <w:drawing>
          <wp:inline distT="0" distB="0" distL="0" distR="0" wp14:anchorId="23024E69" wp14:editId="2A86E8B0">
            <wp:extent cx="5334000" cy="2166257"/>
            <wp:effectExtent l="0" t="0" r="0" b="5715"/>
            <wp:docPr id="16" name="Picture 16" descr="C:\Users\Elina.rolfe\AppData\Local\Microsoft\Windows\INetCache\Content.Outlook\BQEHWRH2\PRI_RF_BAND-SCORE_AB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na.rolfe\AppData\Local\Microsoft\Windows\INetCache\Content.Outlook\BQEHWRH2\PRI_RF_BAND-SCORE_AB_20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6339" cy="2167207"/>
                    </a:xfrm>
                    <a:prstGeom prst="rect">
                      <a:avLst/>
                    </a:prstGeom>
                    <a:noFill/>
                    <a:ln>
                      <a:noFill/>
                    </a:ln>
                  </pic:spPr>
                </pic:pic>
              </a:graphicData>
            </a:graphic>
          </wp:inline>
        </w:drawing>
      </w:r>
    </w:p>
    <w:p w14:paraId="733EE4C4" w14:textId="70F9DC6F" w:rsidR="002E3678" w:rsidRDefault="007E46F2" w:rsidP="00F40630">
      <w:pPr>
        <w:jc w:val="both"/>
      </w:pPr>
      <w:r>
        <w:t>All ‘</w:t>
      </w:r>
      <w:r w:rsidR="001F2A22">
        <w:t>C</w:t>
      </w:r>
      <w:r>
        <w:t xml:space="preserve">ore assessed’ indicators will count towards a signatory’s module score, up to a maximum of 75% of the overall module score. This means a signatory can achieve </w:t>
      </w:r>
      <w:r w:rsidR="00B45B0C">
        <w:t xml:space="preserve">the </w:t>
      </w:r>
      <w:r w:rsidR="0038578B">
        <w:t>third</w:t>
      </w:r>
      <w:r w:rsidR="00B45B0C">
        <w:t>-highest performance Band (</w:t>
      </w:r>
      <w:r>
        <w:t xml:space="preserve">B) by reporting on </w:t>
      </w:r>
      <w:proofErr w:type="gramStart"/>
      <w:r>
        <w:t>all of</w:t>
      </w:r>
      <w:proofErr w:type="gramEnd"/>
      <w:r>
        <w:t xml:space="preserve"> the ‘core assessed’ indicators and scoring well on them.</w:t>
      </w:r>
      <w:r w:rsidR="00653869">
        <w:t xml:space="preserve"> ‘Additional assessed’ indicators typically cover alternative or advanced practices and by reporting, and scoring, on only a selection of these ‘</w:t>
      </w:r>
      <w:r w:rsidR="001F2A22">
        <w:t>A</w:t>
      </w:r>
      <w:r w:rsidR="00653869">
        <w:t xml:space="preserve">dditional assessed’ indicators, signatories can improve their score and potentially advance to the </w:t>
      </w:r>
      <w:r w:rsidR="00B45B0C">
        <w:t>highest performance B</w:t>
      </w:r>
      <w:r w:rsidR="00653869">
        <w:t>and</w:t>
      </w:r>
      <w:r w:rsidR="0038578B">
        <w:t>s</w:t>
      </w:r>
      <w:r w:rsidR="00653869">
        <w:t xml:space="preserve"> (A</w:t>
      </w:r>
      <w:r w:rsidR="0038578B">
        <w:t xml:space="preserve"> and A+</w:t>
      </w:r>
      <w:r w:rsidR="00653869">
        <w:t>).</w:t>
      </w:r>
    </w:p>
    <w:p w14:paraId="27FBE570" w14:textId="660D2DA5" w:rsidR="00AD3BF8" w:rsidRDefault="00AD3BF8" w:rsidP="00F40630">
      <w:pPr>
        <w:jc w:val="both"/>
        <w:rPr>
          <w:b/>
          <w:bCs/>
          <w:color w:val="008CD0"/>
          <w:sz w:val="24"/>
          <w:szCs w:val="24"/>
        </w:rPr>
      </w:pPr>
    </w:p>
    <w:p w14:paraId="229D116C" w14:textId="1AAD8692" w:rsidR="00B24B07" w:rsidRDefault="00B24B07" w:rsidP="00F40630">
      <w:pPr>
        <w:jc w:val="both"/>
        <w:rPr>
          <w:b/>
          <w:bCs/>
          <w:color w:val="008CD0"/>
          <w:sz w:val="24"/>
          <w:szCs w:val="24"/>
        </w:rPr>
      </w:pPr>
    </w:p>
    <w:p w14:paraId="0E1042F8" w14:textId="2E163945" w:rsidR="00B24B07" w:rsidRDefault="00B24B07" w:rsidP="00F40630">
      <w:pPr>
        <w:jc w:val="both"/>
        <w:rPr>
          <w:b/>
          <w:bCs/>
          <w:color w:val="008CD0"/>
          <w:sz w:val="24"/>
          <w:szCs w:val="24"/>
        </w:rPr>
      </w:pPr>
    </w:p>
    <w:p w14:paraId="259FCD68" w14:textId="77777777" w:rsidR="00B24B07" w:rsidRDefault="00B24B07" w:rsidP="00F40630">
      <w:pPr>
        <w:jc w:val="both"/>
        <w:rPr>
          <w:b/>
          <w:bCs/>
          <w:color w:val="008CD0"/>
          <w:sz w:val="24"/>
          <w:szCs w:val="24"/>
        </w:rPr>
      </w:pPr>
    </w:p>
    <w:p w14:paraId="4EDB191B" w14:textId="77777777" w:rsidR="002E2B11" w:rsidRDefault="002E2B11" w:rsidP="002E2B11">
      <w:pPr>
        <w:pStyle w:val="Heading3"/>
      </w:pPr>
      <w:bookmarkStart w:id="8" w:name="_Toc532309328"/>
      <w:r>
        <w:lastRenderedPageBreak/>
        <w:t xml:space="preserve">Assessing </w:t>
      </w:r>
      <w:r w:rsidR="00E8702C">
        <w:t xml:space="preserve">and Discarding </w:t>
      </w:r>
      <w:r>
        <w:t>Additional Indicators</w:t>
      </w:r>
      <w:bookmarkEnd w:id="8"/>
    </w:p>
    <w:p w14:paraId="465EFBD9" w14:textId="28BEB77C" w:rsidR="005F0BD4" w:rsidRDefault="00DC6BCF" w:rsidP="004B2CF2">
      <w:pPr>
        <w:jc w:val="both"/>
      </w:pPr>
      <w:r>
        <w:t xml:space="preserve">The </w:t>
      </w:r>
      <w:r w:rsidR="007E46F2">
        <w:t>maximum s</w:t>
      </w:r>
      <w:r>
        <w:t>core</w:t>
      </w:r>
      <w:r w:rsidR="007E46F2">
        <w:t xml:space="preserve"> (100%)</w:t>
      </w:r>
      <w:r>
        <w:t xml:space="preserve"> for each </w:t>
      </w:r>
      <w:r w:rsidR="00DA6FDC">
        <w:t>module</w:t>
      </w:r>
      <w:r>
        <w:t xml:space="preserve"> will be </w:t>
      </w:r>
      <w:r w:rsidR="00DA6FDC">
        <w:t xml:space="preserve">based on the </w:t>
      </w:r>
      <w:r w:rsidR="005458EC">
        <w:t xml:space="preserve">maximum </w:t>
      </w:r>
      <w:r w:rsidR="009534B4">
        <w:t xml:space="preserve">score of </w:t>
      </w:r>
      <w:r w:rsidR="009534B4" w:rsidRPr="002227A0">
        <w:rPr>
          <w:u w:val="single"/>
        </w:rPr>
        <w:t>all</w:t>
      </w:r>
      <w:r w:rsidR="00DA6FDC">
        <w:t xml:space="preserve"> </w:t>
      </w:r>
      <w:r w:rsidR="002227A0">
        <w:t>‘</w:t>
      </w:r>
      <w:r w:rsidR="00A039C1">
        <w:t>C</w:t>
      </w:r>
      <w:r w:rsidR="00495DD4">
        <w:t>ore</w:t>
      </w:r>
      <w:r w:rsidR="002227A0">
        <w:t>’</w:t>
      </w:r>
      <w:r w:rsidR="00495DD4">
        <w:t xml:space="preserve"> assessed’ indicators </w:t>
      </w:r>
      <w:r w:rsidR="009534B4">
        <w:t>and</w:t>
      </w:r>
      <w:r w:rsidR="00DA6FDC">
        <w:t xml:space="preserve"> </w:t>
      </w:r>
      <w:r w:rsidR="005458EC">
        <w:t xml:space="preserve">the maximum score of </w:t>
      </w:r>
      <w:r w:rsidR="00DA6FDC">
        <w:t xml:space="preserve">a </w:t>
      </w:r>
      <w:r w:rsidR="00DA6FDC" w:rsidRPr="002227A0">
        <w:rPr>
          <w:u w:val="single"/>
        </w:rPr>
        <w:t>subset</w:t>
      </w:r>
      <w:r w:rsidR="00DA6FDC">
        <w:t xml:space="preserve"> of the </w:t>
      </w:r>
      <w:r w:rsidR="002227A0">
        <w:t>‘</w:t>
      </w:r>
      <w:r>
        <w:t>additional</w:t>
      </w:r>
      <w:r w:rsidR="002227A0">
        <w:t>’</w:t>
      </w:r>
      <w:r>
        <w:t xml:space="preserve"> </w:t>
      </w:r>
      <w:r w:rsidR="00DA6FDC">
        <w:t>assessed indicators.</w:t>
      </w:r>
      <w:r>
        <w:t xml:space="preserve"> </w:t>
      </w:r>
      <w:r w:rsidR="005F0BD4">
        <w:t>The signatory will then receive a score based on the ‘</w:t>
      </w:r>
      <w:r w:rsidR="00A039C1">
        <w:t>C</w:t>
      </w:r>
      <w:r w:rsidR="005F0BD4">
        <w:t xml:space="preserve">ore’ indicators and on the highest </w:t>
      </w:r>
      <w:r w:rsidR="00907ADD">
        <w:t>scoring</w:t>
      </w:r>
      <w:r w:rsidR="005F0BD4">
        <w:t xml:space="preserve"> ‘additional’ indicators. </w:t>
      </w:r>
    </w:p>
    <w:p w14:paraId="052549C8" w14:textId="3791D13C" w:rsidR="00E219FE" w:rsidRDefault="00E219FE" w:rsidP="004B2CF2">
      <w:pPr>
        <w:jc w:val="both"/>
      </w:pPr>
      <w:r>
        <w:t>These highest scoring ‘</w:t>
      </w:r>
      <w:r w:rsidR="00A039C1">
        <w:t>A</w:t>
      </w:r>
      <w:r>
        <w:t>dditional’ indicators will be mentioned in the Indicator Scorecard of all assessed modules.</w:t>
      </w:r>
    </w:p>
    <w:p w14:paraId="44F081E8" w14:textId="071233F1" w:rsidR="007E46F2" w:rsidRDefault="004B2CF2" w:rsidP="004B2CF2">
      <w:pPr>
        <w:jc w:val="both"/>
      </w:pPr>
      <w:r>
        <w:t xml:space="preserve">For example, if a module has </w:t>
      </w:r>
      <w:r w:rsidR="00653869">
        <w:t>twelve</w:t>
      </w:r>
      <w:r>
        <w:t xml:space="preserve"> indicators</w:t>
      </w:r>
      <w:r w:rsidR="00972121">
        <w:t xml:space="preserve"> (see example below)</w:t>
      </w:r>
      <w:r>
        <w:t>, of which</w:t>
      </w:r>
      <w:r w:rsidR="007E46F2">
        <w:t xml:space="preserve"> seven are</w:t>
      </w:r>
      <w:r>
        <w:t xml:space="preserve"> </w:t>
      </w:r>
      <w:r w:rsidR="007E46F2">
        <w:t>‘</w:t>
      </w:r>
      <w:r w:rsidR="00A039C1">
        <w:t>C</w:t>
      </w:r>
      <w:r>
        <w:t>ore</w:t>
      </w:r>
      <w:r w:rsidR="007E46F2">
        <w:t>’ and five are</w:t>
      </w:r>
      <w:r>
        <w:t xml:space="preserve"> </w:t>
      </w:r>
      <w:r w:rsidR="007E46F2">
        <w:t>‘</w:t>
      </w:r>
      <w:r w:rsidR="00A039C1">
        <w:t>A</w:t>
      </w:r>
      <w:r>
        <w:t>dditional</w:t>
      </w:r>
      <w:r w:rsidR="007E46F2">
        <w:t>’</w:t>
      </w:r>
      <w:r>
        <w:t xml:space="preserve">, the </w:t>
      </w:r>
      <w:r w:rsidR="006653B4">
        <w:t xml:space="preserve">maximum </w:t>
      </w:r>
      <w:r w:rsidR="007E46F2">
        <w:t>assessment</w:t>
      </w:r>
      <w:r>
        <w:t xml:space="preserve"> will </w:t>
      </w:r>
      <w:r w:rsidR="007E46F2">
        <w:t xml:space="preserve">be based on </w:t>
      </w:r>
      <w:r w:rsidR="00C77000" w:rsidRPr="00C77000">
        <w:rPr>
          <w:u w:val="single"/>
        </w:rPr>
        <w:t>all</w:t>
      </w:r>
      <w:r w:rsidR="00C77000">
        <w:t xml:space="preserve"> </w:t>
      </w:r>
      <w:r w:rsidR="007E46F2">
        <w:t>seven ‘</w:t>
      </w:r>
      <w:r w:rsidR="00A039C1">
        <w:t>C</w:t>
      </w:r>
      <w:r w:rsidR="007E46F2">
        <w:t xml:space="preserve">ore’ indicators </w:t>
      </w:r>
      <w:r w:rsidR="00EF0F20">
        <w:t>[</w:t>
      </w:r>
      <w:r w:rsidR="006653B4">
        <w:t>7</w:t>
      </w:r>
      <w:r w:rsidR="00EF0F20">
        <w:t xml:space="preserve"> × </w:t>
      </w:r>
      <w:r w:rsidR="006653B4">
        <w:t>3</w:t>
      </w:r>
      <w:r w:rsidR="006653B4" w:rsidRPr="00F40A8F">
        <w:rPr>
          <w:color w:val="1F497D" w:themeColor="text2"/>
          <w:sz w:val="22"/>
          <w:szCs w:val="24"/>
        </w:rPr>
        <w:sym w:font="Wingdings" w:char="F0AB"/>
      </w:r>
      <w:r w:rsidR="00EF0F20">
        <w:t xml:space="preserve"> = </w:t>
      </w:r>
      <w:r w:rsidR="002227A0">
        <w:t>21</w:t>
      </w:r>
      <w:r w:rsidR="002227A0" w:rsidRPr="00F40A8F">
        <w:rPr>
          <w:color w:val="1F497D" w:themeColor="text2"/>
          <w:sz w:val="22"/>
          <w:szCs w:val="24"/>
        </w:rPr>
        <w:sym w:font="Wingdings" w:char="F0AB"/>
      </w:r>
      <w:r w:rsidR="00EF0F20">
        <w:rPr>
          <w:color w:val="1F497D" w:themeColor="text2"/>
          <w:sz w:val="22"/>
          <w:szCs w:val="24"/>
        </w:rPr>
        <w:t xml:space="preserve"> </w:t>
      </w:r>
      <w:r w:rsidR="002227A0" w:rsidRPr="00167BCD">
        <w:t>=</w:t>
      </w:r>
      <w:r w:rsidR="00167BCD">
        <w:t xml:space="preserve"> </w:t>
      </w:r>
      <w:r w:rsidR="007E46F2">
        <w:t>70%</w:t>
      </w:r>
      <w:r w:rsidR="00EF0F20">
        <w:t>]</w:t>
      </w:r>
      <w:r w:rsidR="007E46F2">
        <w:t xml:space="preserve"> and the three highest scoring ‘</w:t>
      </w:r>
      <w:r w:rsidR="00A039C1">
        <w:t>A</w:t>
      </w:r>
      <w:r w:rsidR="007E46F2">
        <w:t>dditional’ indicators</w:t>
      </w:r>
      <w:r w:rsidR="00C77000">
        <w:t xml:space="preserve"> to make up the remaining 30% of the module score</w:t>
      </w:r>
      <w:r w:rsidR="007E46F2">
        <w:t xml:space="preserve"> </w:t>
      </w:r>
      <w:r w:rsidR="00EF0F20">
        <w:t>[</w:t>
      </w:r>
      <w:r w:rsidR="006653B4">
        <w:t>3</w:t>
      </w:r>
      <w:r w:rsidR="00EF0F20">
        <w:t xml:space="preserve"> × </w:t>
      </w:r>
      <w:r w:rsidR="006653B4">
        <w:t>3</w:t>
      </w:r>
      <w:r w:rsidR="006653B4" w:rsidRPr="00F40A8F">
        <w:rPr>
          <w:color w:val="1F497D" w:themeColor="text2"/>
          <w:sz w:val="22"/>
          <w:szCs w:val="24"/>
        </w:rPr>
        <w:sym w:font="Wingdings" w:char="F0AB"/>
      </w:r>
      <w:r w:rsidR="00EF0F20">
        <w:t xml:space="preserve"> =</w:t>
      </w:r>
      <w:r w:rsidR="005F0BD4" w:rsidRPr="005F0BD4">
        <w:t xml:space="preserve"> </w:t>
      </w:r>
      <w:r w:rsidR="002227A0">
        <w:t>9</w:t>
      </w:r>
      <w:r w:rsidR="002227A0" w:rsidRPr="00313BED">
        <w:rPr>
          <w:color w:val="1F497D" w:themeColor="text2"/>
          <w:sz w:val="24"/>
          <w:szCs w:val="24"/>
        </w:rPr>
        <w:sym w:font="Wingdings" w:char="F0AB"/>
      </w:r>
      <w:r w:rsidR="002227A0" w:rsidRPr="00167BCD">
        <w:t>=</w:t>
      </w:r>
      <w:r w:rsidR="00167BCD">
        <w:t xml:space="preserve"> </w:t>
      </w:r>
      <w:r w:rsidR="007E46F2">
        <w:t>30%</w:t>
      </w:r>
      <w:r w:rsidR="00EF0F20">
        <w:t>]</w:t>
      </w:r>
      <w:r w:rsidR="007E46F2">
        <w:t>. This results in</w:t>
      </w:r>
      <w:r w:rsidR="00907ADD">
        <w:t xml:space="preserve"> the</w:t>
      </w:r>
      <w:r w:rsidR="007E46F2">
        <w:t xml:space="preserve"> two lowest scoring ‘</w:t>
      </w:r>
      <w:r w:rsidR="00A039C1">
        <w:t>A</w:t>
      </w:r>
      <w:r w:rsidR="007E46F2">
        <w:t xml:space="preserve">dditional’ indicators being </w:t>
      </w:r>
      <w:r w:rsidR="007E46F2" w:rsidRPr="00F75663">
        <w:rPr>
          <w:u w:val="single"/>
        </w:rPr>
        <w:t>discarded</w:t>
      </w:r>
      <w:r w:rsidR="007E46F2">
        <w:t xml:space="preserve"> and the denominator being ten indicators </w:t>
      </w:r>
      <w:r w:rsidR="00EF0F20">
        <w:t>[</w:t>
      </w:r>
      <w:r w:rsidR="006653B4">
        <w:t>21</w:t>
      </w:r>
      <w:r w:rsidR="005F0BD4" w:rsidRPr="00F40A8F">
        <w:rPr>
          <w:color w:val="1F497D" w:themeColor="text2"/>
          <w:sz w:val="22"/>
          <w:szCs w:val="24"/>
        </w:rPr>
        <w:sym w:font="Wingdings" w:char="F0AB"/>
      </w:r>
      <w:r w:rsidR="00EF0F20">
        <w:rPr>
          <w:color w:val="1F497D" w:themeColor="text2"/>
          <w:sz w:val="22"/>
          <w:szCs w:val="24"/>
        </w:rPr>
        <w:t xml:space="preserve"> </w:t>
      </w:r>
      <w:r w:rsidR="006653B4">
        <w:t>+</w:t>
      </w:r>
      <w:r w:rsidR="00EF0F20">
        <w:t xml:space="preserve"> </w:t>
      </w:r>
      <w:r w:rsidR="006653B4">
        <w:t>9</w:t>
      </w:r>
      <w:r w:rsidR="005F0BD4" w:rsidRPr="00F40A8F">
        <w:rPr>
          <w:color w:val="1F497D" w:themeColor="text2"/>
          <w:sz w:val="22"/>
          <w:szCs w:val="24"/>
        </w:rPr>
        <w:sym w:font="Wingdings" w:char="F0AB"/>
      </w:r>
      <w:r w:rsidR="00EF0F20">
        <w:t xml:space="preserve"> =</w:t>
      </w:r>
      <w:r w:rsidR="00167BCD" w:rsidRPr="00167BCD">
        <w:t xml:space="preserve"> </w:t>
      </w:r>
      <w:r w:rsidR="00674E51">
        <w:t>30</w:t>
      </w:r>
      <w:r w:rsidR="00674E51" w:rsidRPr="00313BED">
        <w:rPr>
          <w:color w:val="1F497D" w:themeColor="text2"/>
          <w:sz w:val="24"/>
          <w:szCs w:val="24"/>
        </w:rPr>
        <w:sym w:font="Wingdings" w:char="F0AB"/>
      </w:r>
      <w:r w:rsidR="00674E51">
        <w:t>=</w:t>
      </w:r>
      <w:r w:rsidR="00167BCD">
        <w:t xml:space="preserve"> </w:t>
      </w:r>
      <w:r w:rsidR="00674E51">
        <w:t>100%</w:t>
      </w:r>
      <w:r w:rsidR="00EF0F20">
        <w:t>]</w:t>
      </w:r>
      <w:r w:rsidR="00674E51">
        <w:t xml:space="preserve"> r</w:t>
      </w:r>
      <w:r w:rsidR="007E46F2">
        <w:t xml:space="preserve">ather than all twelve indicators. </w:t>
      </w:r>
    </w:p>
    <w:tbl>
      <w:tblPr>
        <w:tblStyle w:val="PRITable21"/>
        <w:tblW w:w="8794" w:type="dxa"/>
        <w:tblLayout w:type="fixed"/>
        <w:tblLook w:val="04A0" w:firstRow="1" w:lastRow="0" w:firstColumn="1" w:lastColumn="0" w:noHBand="0" w:noVBand="1"/>
      </w:tblPr>
      <w:tblGrid>
        <w:gridCol w:w="1565"/>
        <w:gridCol w:w="1434"/>
        <w:gridCol w:w="1276"/>
        <w:gridCol w:w="1276"/>
        <w:gridCol w:w="3243"/>
      </w:tblGrid>
      <w:tr w:rsidR="00653869" w:rsidRPr="00313BED" w14:paraId="77580F8D" w14:textId="77777777" w:rsidTr="007A3132">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565" w:type="dxa"/>
            <w:vAlign w:val="center"/>
          </w:tcPr>
          <w:p w14:paraId="59B48576" w14:textId="77777777" w:rsidR="00653869" w:rsidRPr="00313BED" w:rsidRDefault="00653869" w:rsidP="00F44CAB">
            <w:pPr>
              <w:spacing w:before="0" w:after="0" w:line="240" w:lineRule="auto"/>
              <w:jc w:val="center"/>
              <w:rPr>
                <w:color w:val="FFFFFF"/>
                <w:sz w:val="20"/>
                <w:lang w:val="en-US"/>
              </w:rPr>
            </w:pPr>
            <w:r w:rsidRPr="00313BED">
              <w:rPr>
                <w:color w:val="FFFFFF"/>
                <w:sz w:val="20"/>
                <w:lang w:val="en-US"/>
              </w:rPr>
              <w:t>Indicator type</w:t>
            </w:r>
          </w:p>
        </w:tc>
        <w:tc>
          <w:tcPr>
            <w:tcW w:w="1434" w:type="dxa"/>
            <w:vAlign w:val="center"/>
          </w:tcPr>
          <w:p w14:paraId="7D70D415" w14:textId="77777777" w:rsidR="00653869" w:rsidRPr="00313BED" w:rsidRDefault="00653869" w:rsidP="00F44CA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FFFFFF"/>
                <w:sz w:val="20"/>
                <w:lang w:val="en-US"/>
              </w:rPr>
            </w:pPr>
            <w:r w:rsidRPr="00313BED">
              <w:rPr>
                <w:color w:val="FFFFFF"/>
                <w:sz w:val="20"/>
                <w:lang w:val="en-US"/>
              </w:rPr>
              <w:t>Indicator no.</w:t>
            </w:r>
          </w:p>
        </w:tc>
        <w:tc>
          <w:tcPr>
            <w:tcW w:w="1276" w:type="dxa"/>
            <w:vAlign w:val="center"/>
          </w:tcPr>
          <w:p w14:paraId="6C85301F" w14:textId="77777777" w:rsidR="00653869" w:rsidRPr="00313BED" w:rsidRDefault="00653869" w:rsidP="00F44CA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FFFFFF"/>
                <w:sz w:val="20"/>
              </w:rPr>
            </w:pPr>
            <w:r w:rsidRPr="00313BED">
              <w:rPr>
                <w:color w:val="FFFFFF"/>
                <w:sz w:val="20"/>
              </w:rPr>
              <w:t>Your Score</w:t>
            </w:r>
          </w:p>
        </w:tc>
        <w:tc>
          <w:tcPr>
            <w:tcW w:w="1276" w:type="dxa"/>
            <w:vAlign w:val="center"/>
          </w:tcPr>
          <w:p w14:paraId="4C941743" w14:textId="77777777" w:rsidR="00653869" w:rsidRPr="00313BED" w:rsidRDefault="00653869" w:rsidP="00F44CA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FFFFFF"/>
                <w:sz w:val="20"/>
              </w:rPr>
            </w:pPr>
            <w:r w:rsidRPr="00313BED">
              <w:rPr>
                <w:color w:val="FFFFFF"/>
                <w:sz w:val="20"/>
              </w:rPr>
              <w:t>Scored</w:t>
            </w:r>
          </w:p>
        </w:tc>
        <w:tc>
          <w:tcPr>
            <w:tcW w:w="3243" w:type="dxa"/>
            <w:shd w:val="clear" w:color="auto" w:fill="808080" w:themeFill="background1" w:themeFillShade="80"/>
            <w:vAlign w:val="center"/>
          </w:tcPr>
          <w:p w14:paraId="684D44DF" w14:textId="77777777" w:rsidR="00653869" w:rsidRPr="00313BED" w:rsidRDefault="00653869" w:rsidP="00F44CA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FFFFFF"/>
                <w:sz w:val="20"/>
              </w:rPr>
            </w:pPr>
            <w:r w:rsidRPr="00313BED">
              <w:rPr>
                <w:color w:val="FFFFFF"/>
                <w:sz w:val="20"/>
              </w:rPr>
              <w:t>Explanation</w:t>
            </w:r>
          </w:p>
        </w:tc>
      </w:tr>
      <w:tr w:rsidR="00653869" w:rsidRPr="00313BED" w14:paraId="030DBBB5" w14:textId="77777777" w:rsidTr="00F44CAB">
        <w:trPr>
          <w:trHeight w:val="290"/>
        </w:trPr>
        <w:tc>
          <w:tcPr>
            <w:cnfStyle w:val="001000000000" w:firstRow="0" w:lastRow="0" w:firstColumn="1" w:lastColumn="0" w:oddVBand="0" w:evenVBand="0" w:oddHBand="0" w:evenHBand="0" w:firstRowFirstColumn="0" w:firstRowLastColumn="0" w:lastRowFirstColumn="0" w:lastRowLastColumn="0"/>
            <w:tcW w:w="1565" w:type="dxa"/>
            <w:vAlign w:val="center"/>
          </w:tcPr>
          <w:p w14:paraId="08598DAF" w14:textId="77777777" w:rsidR="00653869" w:rsidRPr="00313BED" w:rsidRDefault="00653869" w:rsidP="00F44CAB">
            <w:pPr>
              <w:spacing w:before="0" w:after="0" w:line="240" w:lineRule="auto"/>
              <w:jc w:val="center"/>
              <w:rPr>
                <w:b/>
                <w:color w:val="595959" w:themeColor="text1" w:themeTint="A6"/>
                <w:lang w:val="en-US"/>
              </w:rPr>
            </w:pPr>
            <w:r w:rsidRPr="00313BED">
              <w:rPr>
                <w:b/>
                <w:color w:val="595959" w:themeColor="text1" w:themeTint="A6"/>
                <w:lang w:val="en-US"/>
              </w:rPr>
              <w:t>Core</w:t>
            </w:r>
          </w:p>
        </w:tc>
        <w:tc>
          <w:tcPr>
            <w:tcW w:w="1434" w:type="dxa"/>
            <w:vAlign w:val="center"/>
          </w:tcPr>
          <w:p w14:paraId="6E9D36FB"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color w:val="595959" w:themeColor="text1" w:themeTint="A6"/>
              </w:rPr>
            </w:pPr>
            <w:r w:rsidRPr="00313BED">
              <w:rPr>
                <w:b/>
                <w:color w:val="595959" w:themeColor="text1" w:themeTint="A6"/>
                <w:lang w:val="en-US"/>
              </w:rPr>
              <w:t>01</w:t>
            </w:r>
          </w:p>
        </w:tc>
        <w:tc>
          <w:tcPr>
            <w:tcW w:w="1276" w:type="dxa"/>
            <w:vAlign w:val="center"/>
          </w:tcPr>
          <w:p w14:paraId="2053352B" w14:textId="77777777" w:rsidR="00653869" w:rsidRPr="00313BED" w:rsidRDefault="00653869" w:rsidP="00F44CAB">
            <w:pPr>
              <w:spacing w:before="0" w:after="0"/>
              <w:jc w:val="cente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313BED">
              <w:rPr>
                <w:noProof/>
                <w:color w:val="595959" w:themeColor="text1" w:themeTint="A6"/>
                <w:lang w:eastAsia="en-GB"/>
              </w:rPr>
              <w:drawing>
                <wp:inline distT="0" distB="0" distL="0" distR="0" wp14:anchorId="149979E9" wp14:editId="5EE6AE8B">
                  <wp:extent cx="474452" cy="144481"/>
                  <wp:effectExtent l="0" t="0" r="1905"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ta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987" cy="145862"/>
                          </a:xfrm>
                          <a:prstGeom prst="rect">
                            <a:avLst/>
                          </a:prstGeom>
                        </pic:spPr>
                      </pic:pic>
                    </a:graphicData>
                  </a:graphic>
                </wp:inline>
              </w:drawing>
            </w:r>
          </w:p>
        </w:tc>
        <w:tc>
          <w:tcPr>
            <w:tcW w:w="1276" w:type="dxa"/>
            <w:vAlign w:val="center"/>
          </w:tcPr>
          <w:p w14:paraId="332B815F"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noProof/>
                <w:color w:val="595959" w:themeColor="text1" w:themeTint="A6"/>
                <w:sz w:val="22"/>
                <w:szCs w:val="22"/>
                <w:lang w:eastAsia="en-GB"/>
              </w:rPr>
            </w:pPr>
            <w:r w:rsidRPr="00313BED">
              <w:rPr>
                <w:b/>
                <w:noProof/>
                <w:color w:val="00B050"/>
                <w:sz w:val="22"/>
                <w:szCs w:val="22"/>
                <w:lang w:eastAsia="en-GB"/>
              </w:rPr>
              <w:sym w:font="Wingdings" w:char="F0FC"/>
            </w:r>
          </w:p>
        </w:tc>
        <w:tc>
          <w:tcPr>
            <w:tcW w:w="3243" w:type="dxa"/>
            <w:vMerge w:val="restart"/>
            <w:vAlign w:val="center"/>
          </w:tcPr>
          <w:p w14:paraId="270EEFAE" w14:textId="77777777" w:rsidR="00653869" w:rsidRPr="00313BED" w:rsidRDefault="00653869" w:rsidP="00F44CA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noProof/>
                <w:color w:val="595959" w:themeColor="text1" w:themeTint="A6"/>
                <w:lang w:eastAsia="en-GB"/>
              </w:rPr>
            </w:pPr>
            <w:r w:rsidRPr="00313BED">
              <w:rPr>
                <w:noProof/>
                <w:color w:val="595959" w:themeColor="text1" w:themeTint="A6"/>
                <w:lang w:eastAsia="en-GB"/>
              </w:rPr>
              <w:t>Core indicators are always scored</w:t>
            </w:r>
          </w:p>
        </w:tc>
      </w:tr>
      <w:tr w:rsidR="00653869" w:rsidRPr="00313BED" w14:paraId="470D68B2" w14:textId="77777777" w:rsidTr="00F44CAB">
        <w:trPr>
          <w:trHeight w:val="141"/>
        </w:trPr>
        <w:tc>
          <w:tcPr>
            <w:cnfStyle w:val="001000000000" w:firstRow="0" w:lastRow="0" w:firstColumn="1" w:lastColumn="0" w:oddVBand="0" w:evenVBand="0" w:oddHBand="0" w:evenHBand="0" w:firstRowFirstColumn="0" w:firstRowLastColumn="0" w:lastRowFirstColumn="0" w:lastRowLastColumn="0"/>
            <w:tcW w:w="1565" w:type="dxa"/>
            <w:vAlign w:val="center"/>
          </w:tcPr>
          <w:p w14:paraId="40E6CBE5" w14:textId="77777777" w:rsidR="00653869" w:rsidRPr="00313BED" w:rsidRDefault="00653869" w:rsidP="00F44CAB">
            <w:pPr>
              <w:spacing w:before="0" w:after="0" w:line="240" w:lineRule="auto"/>
              <w:jc w:val="center"/>
              <w:rPr>
                <w:b/>
                <w:color w:val="595959" w:themeColor="text1" w:themeTint="A6"/>
                <w:lang w:val="en-US"/>
              </w:rPr>
            </w:pPr>
            <w:r w:rsidRPr="00313BED">
              <w:rPr>
                <w:b/>
                <w:color w:val="595959" w:themeColor="text1" w:themeTint="A6"/>
                <w:lang w:val="en-US"/>
              </w:rPr>
              <w:t>Core</w:t>
            </w:r>
          </w:p>
        </w:tc>
        <w:tc>
          <w:tcPr>
            <w:tcW w:w="1434" w:type="dxa"/>
            <w:vAlign w:val="center"/>
          </w:tcPr>
          <w:p w14:paraId="7128F26C"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color w:val="595959" w:themeColor="text1" w:themeTint="A6"/>
              </w:rPr>
            </w:pPr>
            <w:r w:rsidRPr="00313BED">
              <w:rPr>
                <w:b/>
                <w:color w:val="595959" w:themeColor="text1" w:themeTint="A6"/>
                <w:lang w:val="en-US"/>
              </w:rPr>
              <w:t>02</w:t>
            </w:r>
          </w:p>
        </w:tc>
        <w:tc>
          <w:tcPr>
            <w:tcW w:w="1276" w:type="dxa"/>
            <w:tcBorders>
              <w:bottom w:val="single" w:sz="4" w:space="0" w:color="808080"/>
            </w:tcBorders>
            <w:vAlign w:val="center"/>
          </w:tcPr>
          <w:p w14:paraId="4AE90F19" w14:textId="77777777" w:rsidR="00653869" w:rsidRPr="00313BED" w:rsidRDefault="00653869" w:rsidP="00F44CAB">
            <w:pPr>
              <w:spacing w:before="0" w:after="0"/>
              <w:jc w:val="cente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313BED">
              <w:rPr>
                <w:noProof/>
                <w:color w:val="595959" w:themeColor="text1" w:themeTint="A6"/>
                <w:lang w:eastAsia="en-GB"/>
              </w:rPr>
              <w:drawing>
                <wp:inline distT="0" distB="0" distL="0" distR="0" wp14:anchorId="52C2EE99" wp14:editId="1B485733">
                  <wp:extent cx="474452" cy="144481"/>
                  <wp:effectExtent l="0" t="0" r="190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ta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987" cy="145862"/>
                          </a:xfrm>
                          <a:prstGeom prst="rect">
                            <a:avLst/>
                          </a:prstGeom>
                        </pic:spPr>
                      </pic:pic>
                    </a:graphicData>
                  </a:graphic>
                </wp:inline>
              </w:drawing>
            </w:r>
          </w:p>
        </w:tc>
        <w:tc>
          <w:tcPr>
            <w:tcW w:w="1276" w:type="dxa"/>
            <w:vAlign w:val="center"/>
          </w:tcPr>
          <w:p w14:paraId="69F50147"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noProof/>
                <w:color w:val="595959" w:themeColor="text1" w:themeTint="A6"/>
                <w:sz w:val="22"/>
                <w:szCs w:val="22"/>
                <w:lang w:eastAsia="en-GB"/>
              </w:rPr>
            </w:pPr>
            <w:r w:rsidRPr="00313BED">
              <w:rPr>
                <w:b/>
                <w:noProof/>
                <w:color w:val="00B050"/>
                <w:sz w:val="22"/>
                <w:szCs w:val="22"/>
                <w:lang w:eastAsia="en-GB"/>
              </w:rPr>
              <w:sym w:font="Wingdings" w:char="F0FC"/>
            </w:r>
          </w:p>
        </w:tc>
        <w:tc>
          <w:tcPr>
            <w:tcW w:w="3243" w:type="dxa"/>
            <w:vMerge/>
            <w:vAlign w:val="center"/>
          </w:tcPr>
          <w:p w14:paraId="773F00C4" w14:textId="77777777" w:rsidR="00653869" w:rsidRPr="00313BED" w:rsidRDefault="00653869" w:rsidP="00F44CA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noProof/>
                <w:color w:val="595959" w:themeColor="text1" w:themeTint="A6"/>
                <w:sz w:val="18"/>
                <w:szCs w:val="18"/>
                <w:lang w:eastAsia="en-GB"/>
              </w:rPr>
            </w:pPr>
          </w:p>
        </w:tc>
      </w:tr>
      <w:tr w:rsidR="00653869" w:rsidRPr="00313BED" w14:paraId="51212F76" w14:textId="77777777" w:rsidTr="00F44CAB">
        <w:trPr>
          <w:trHeight w:val="132"/>
        </w:trPr>
        <w:tc>
          <w:tcPr>
            <w:cnfStyle w:val="001000000000" w:firstRow="0" w:lastRow="0" w:firstColumn="1" w:lastColumn="0" w:oddVBand="0" w:evenVBand="0" w:oddHBand="0" w:evenHBand="0" w:firstRowFirstColumn="0" w:firstRowLastColumn="0" w:lastRowFirstColumn="0" w:lastRowLastColumn="0"/>
            <w:tcW w:w="1565" w:type="dxa"/>
            <w:vAlign w:val="center"/>
          </w:tcPr>
          <w:p w14:paraId="68765A7D" w14:textId="77777777" w:rsidR="00653869" w:rsidRPr="00313BED" w:rsidRDefault="00653869" w:rsidP="00F44CAB">
            <w:pPr>
              <w:spacing w:before="0" w:after="0" w:line="240" w:lineRule="auto"/>
              <w:jc w:val="center"/>
              <w:rPr>
                <w:b/>
                <w:color w:val="595959" w:themeColor="text1" w:themeTint="A6"/>
                <w:lang w:val="en-US"/>
              </w:rPr>
            </w:pPr>
            <w:r w:rsidRPr="00313BED">
              <w:rPr>
                <w:b/>
                <w:color w:val="595959" w:themeColor="text1" w:themeTint="A6"/>
                <w:lang w:val="en-US"/>
              </w:rPr>
              <w:t>Core</w:t>
            </w:r>
          </w:p>
        </w:tc>
        <w:tc>
          <w:tcPr>
            <w:tcW w:w="1434" w:type="dxa"/>
            <w:vAlign w:val="center"/>
          </w:tcPr>
          <w:p w14:paraId="1F7A67D8"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color w:val="595959" w:themeColor="text1" w:themeTint="A6"/>
              </w:rPr>
            </w:pPr>
            <w:r w:rsidRPr="00313BED">
              <w:rPr>
                <w:b/>
                <w:color w:val="595959" w:themeColor="text1" w:themeTint="A6"/>
                <w:lang w:val="en-US"/>
              </w:rPr>
              <w:t>0</w:t>
            </w:r>
            <w:r>
              <w:rPr>
                <w:b/>
                <w:color w:val="595959" w:themeColor="text1" w:themeTint="A6"/>
                <w:lang w:val="en-US"/>
              </w:rPr>
              <w:t>3</w:t>
            </w:r>
          </w:p>
        </w:tc>
        <w:tc>
          <w:tcPr>
            <w:tcW w:w="1276" w:type="dxa"/>
            <w:tcBorders>
              <w:bottom w:val="single" w:sz="4" w:space="0" w:color="808080"/>
            </w:tcBorders>
            <w:vAlign w:val="center"/>
          </w:tcPr>
          <w:p w14:paraId="35EE9BAB" w14:textId="77777777" w:rsidR="00653869" w:rsidRPr="00313BED" w:rsidRDefault="00653869" w:rsidP="00F44CAB">
            <w:pPr>
              <w:spacing w:before="0" w:after="0"/>
              <w:jc w:val="center"/>
              <w:cnfStyle w:val="000000000000" w:firstRow="0" w:lastRow="0" w:firstColumn="0" w:lastColumn="0" w:oddVBand="0" w:evenVBand="0" w:oddHBand="0" w:evenHBand="0" w:firstRowFirstColumn="0" w:firstRowLastColumn="0" w:lastRowFirstColumn="0" w:lastRowLastColumn="0"/>
              <w:rPr>
                <w:noProof/>
                <w:color w:val="595959" w:themeColor="text1" w:themeTint="A6"/>
                <w:lang w:eastAsia="en-GB"/>
              </w:rPr>
            </w:pPr>
            <w:r w:rsidRPr="00313BED">
              <w:rPr>
                <w:noProof/>
                <w:color w:val="595959" w:themeColor="text1" w:themeTint="A6"/>
                <w:lang w:eastAsia="en-GB"/>
              </w:rPr>
              <w:drawing>
                <wp:inline distT="0" distB="0" distL="0" distR="0" wp14:anchorId="4145FD6B" wp14:editId="3517CD0F">
                  <wp:extent cx="474452" cy="144481"/>
                  <wp:effectExtent l="0" t="0" r="190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ta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987" cy="145862"/>
                          </a:xfrm>
                          <a:prstGeom prst="rect">
                            <a:avLst/>
                          </a:prstGeom>
                        </pic:spPr>
                      </pic:pic>
                    </a:graphicData>
                  </a:graphic>
                </wp:inline>
              </w:drawing>
            </w:r>
          </w:p>
        </w:tc>
        <w:tc>
          <w:tcPr>
            <w:tcW w:w="1276" w:type="dxa"/>
            <w:vAlign w:val="center"/>
          </w:tcPr>
          <w:p w14:paraId="1DD6AC91"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noProof/>
                <w:color w:val="595959" w:themeColor="text1" w:themeTint="A6"/>
                <w:sz w:val="22"/>
                <w:szCs w:val="22"/>
                <w:lang w:eastAsia="en-GB"/>
              </w:rPr>
            </w:pPr>
            <w:r w:rsidRPr="00313BED">
              <w:rPr>
                <w:b/>
                <w:noProof/>
                <w:color w:val="00B050"/>
                <w:sz w:val="22"/>
                <w:szCs w:val="22"/>
                <w:lang w:eastAsia="en-GB"/>
              </w:rPr>
              <w:sym w:font="Wingdings" w:char="F0FC"/>
            </w:r>
          </w:p>
        </w:tc>
        <w:tc>
          <w:tcPr>
            <w:tcW w:w="3243" w:type="dxa"/>
            <w:vMerge/>
            <w:vAlign w:val="center"/>
          </w:tcPr>
          <w:p w14:paraId="4FA6E80E" w14:textId="77777777" w:rsidR="00653869" w:rsidRPr="00313BED" w:rsidRDefault="00653869" w:rsidP="00F44CA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noProof/>
                <w:color w:val="595959" w:themeColor="text1" w:themeTint="A6"/>
                <w:sz w:val="18"/>
                <w:szCs w:val="18"/>
                <w:lang w:eastAsia="en-GB"/>
              </w:rPr>
            </w:pPr>
          </w:p>
        </w:tc>
      </w:tr>
      <w:tr w:rsidR="00653869" w:rsidRPr="00313BED" w14:paraId="69C1CB07" w14:textId="77777777" w:rsidTr="00F44CAB">
        <w:trPr>
          <w:trHeight w:val="124"/>
        </w:trPr>
        <w:tc>
          <w:tcPr>
            <w:cnfStyle w:val="001000000000" w:firstRow="0" w:lastRow="0" w:firstColumn="1" w:lastColumn="0" w:oddVBand="0" w:evenVBand="0" w:oddHBand="0" w:evenHBand="0" w:firstRowFirstColumn="0" w:firstRowLastColumn="0" w:lastRowFirstColumn="0" w:lastRowLastColumn="0"/>
            <w:tcW w:w="1565" w:type="dxa"/>
            <w:vAlign w:val="center"/>
          </w:tcPr>
          <w:p w14:paraId="01269B8F" w14:textId="77777777" w:rsidR="00653869" w:rsidRPr="00313BED" w:rsidRDefault="00653869" w:rsidP="00F44CAB">
            <w:pPr>
              <w:spacing w:before="0" w:after="0" w:line="240" w:lineRule="auto"/>
              <w:jc w:val="center"/>
              <w:rPr>
                <w:b/>
                <w:color w:val="595959" w:themeColor="text1" w:themeTint="A6"/>
                <w:lang w:val="en-US"/>
              </w:rPr>
            </w:pPr>
            <w:r w:rsidRPr="00313BED">
              <w:rPr>
                <w:b/>
                <w:color w:val="595959" w:themeColor="text1" w:themeTint="A6"/>
                <w:lang w:val="en-US"/>
              </w:rPr>
              <w:t>Core</w:t>
            </w:r>
          </w:p>
        </w:tc>
        <w:tc>
          <w:tcPr>
            <w:tcW w:w="1434" w:type="dxa"/>
            <w:vAlign w:val="center"/>
          </w:tcPr>
          <w:p w14:paraId="412A80AF"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color w:val="595959" w:themeColor="text1" w:themeTint="A6"/>
              </w:rPr>
            </w:pPr>
            <w:r w:rsidRPr="00313BED">
              <w:rPr>
                <w:b/>
                <w:color w:val="595959" w:themeColor="text1" w:themeTint="A6"/>
                <w:lang w:val="en-US"/>
              </w:rPr>
              <w:t>0</w:t>
            </w:r>
            <w:r>
              <w:rPr>
                <w:b/>
                <w:color w:val="595959" w:themeColor="text1" w:themeTint="A6"/>
                <w:lang w:val="en-US"/>
              </w:rPr>
              <w:t>4</w:t>
            </w:r>
          </w:p>
        </w:tc>
        <w:tc>
          <w:tcPr>
            <w:tcW w:w="1276" w:type="dxa"/>
            <w:tcBorders>
              <w:bottom w:val="single" w:sz="4" w:space="0" w:color="808080"/>
            </w:tcBorders>
            <w:vAlign w:val="center"/>
          </w:tcPr>
          <w:p w14:paraId="16979B36" w14:textId="77777777" w:rsidR="00653869" w:rsidRPr="00313BED" w:rsidRDefault="00653869" w:rsidP="00F44CAB">
            <w:pPr>
              <w:spacing w:before="0" w:after="0"/>
              <w:jc w:val="center"/>
              <w:cnfStyle w:val="000000000000" w:firstRow="0" w:lastRow="0" w:firstColumn="0" w:lastColumn="0" w:oddVBand="0" w:evenVBand="0" w:oddHBand="0" w:evenHBand="0" w:firstRowFirstColumn="0" w:firstRowLastColumn="0" w:lastRowFirstColumn="0" w:lastRowLastColumn="0"/>
              <w:rPr>
                <w:noProof/>
                <w:color w:val="595959" w:themeColor="text1" w:themeTint="A6"/>
                <w:lang w:eastAsia="en-GB"/>
              </w:rPr>
            </w:pPr>
            <w:r w:rsidRPr="00313BED">
              <w:rPr>
                <w:noProof/>
                <w:color w:val="595959" w:themeColor="text1" w:themeTint="A6"/>
                <w:lang w:eastAsia="en-GB"/>
              </w:rPr>
              <w:drawing>
                <wp:inline distT="0" distB="0" distL="0" distR="0" wp14:anchorId="6D229475" wp14:editId="62A64ECD">
                  <wp:extent cx="474452" cy="144481"/>
                  <wp:effectExtent l="0" t="0" r="190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ta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987" cy="145862"/>
                          </a:xfrm>
                          <a:prstGeom prst="rect">
                            <a:avLst/>
                          </a:prstGeom>
                        </pic:spPr>
                      </pic:pic>
                    </a:graphicData>
                  </a:graphic>
                </wp:inline>
              </w:drawing>
            </w:r>
          </w:p>
        </w:tc>
        <w:tc>
          <w:tcPr>
            <w:tcW w:w="1276" w:type="dxa"/>
            <w:vAlign w:val="center"/>
          </w:tcPr>
          <w:p w14:paraId="512A1931"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noProof/>
                <w:color w:val="595959" w:themeColor="text1" w:themeTint="A6"/>
                <w:sz w:val="22"/>
                <w:szCs w:val="22"/>
                <w:lang w:eastAsia="en-GB"/>
              </w:rPr>
            </w:pPr>
            <w:r w:rsidRPr="00313BED">
              <w:rPr>
                <w:b/>
                <w:noProof/>
                <w:color w:val="00B050"/>
                <w:sz w:val="22"/>
                <w:szCs w:val="22"/>
                <w:lang w:eastAsia="en-GB"/>
              </w:rPr>
              <w:sym w:font="Wingdings" w:char="F0FC"/>
            </w:r>
          </w:p>
        </w:tc>
        <w:tc>
          <w:tcPr>
            <w:tcW w:w="3243" w:type="dxa"/>
            <w:vMerge/>
            <w:vAlign w:val="center"/>
          </w:tcPr>
          <w:p w14:paraId="57155DF1" w14:textId="77777777" w:rsidR="00653869" w:rsidRPr="00313BED" w:rsidRDefault="00653869" w:rsidP="00F44CA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noProof/>
                <w:color w:val="595959" w:themeColor="text1" w:themeTint="A6"/>
                <w:sz w:val="18"/>
                <w:szCs w:val="18"/>
                <w:lang w:eastAsia="en-GB"/>
              </w:rPr>
            </w:pPr>
          </w:p>
        </w:tc>
      </w:tr>
      <w:tr w:rsidR="00653869" w:rsidRPr="00313BED" w14:paraId="5586A7F1" w14:textId="77777777" w:rsidTr="00F44CAB">
        <w:trPr>
          <w:trHeight w:val="130"/>
        </w:trPr>
        <w:tc>
          <w:tcPr>
            <w:cnfStyle w:val="001000000000" w:firstRow="0" w:lastRow="0" w:firstColumn="1" w:lastColumn="0" w:oddVBand="0" w:evenVBand="0" w:oddHBand="0" w:evenHBand="0" w:firstRowFirstColumn="0" w:firstRowLastColumn="0" w:lastRowFirstColumn="0" w:lastRowLastColumn="0"/>
            <w:tcW w:w="1565" w:type="dxa"/>
            <w:vAlign w:val="center"/>
          </w:tcPr>
          <w:p w14:paraId="4A96BBA3" w14:textId="77777777" w:rsidR="00653869" w:rsidRPr="00313BED" w:rsidRDefault="00653869" w:rsidP="00F44CAB">
            <w:pPr>
              <w:spacing w:before="0" w:after="0" w:line="240" w:lineRule="auto"/>
              <w:jc w:val="center"/>
              <w:rPr>
                <w:b/>
                <w:color w:val="595959" w:themeColor="text1" w:themeTint="A6"/>
                <w:lang w:val="en-US"/>
              </w:rPr>
            </w:pPr>
            <w:r w:rsidRPr="00313BED">
              <w:rPr>
                <w:b/>
                <w:color w:val="595959" w:themeColor="text1" w:themeTint="A6"/>
                <w:lang w:val="en-US"/>
              </w:rPr>
              <w:t>Core</w:t>
            </w:r>
          </w:p>
        </w:tc>
        <w:tc>
          <w:tcPr>
            <w:tcW w:w="1434" w:type="dxa"/>
            <w:vAlign w:val="center"/>
          </w:tcPr>
          <w:p w14:paraId="13A92BDE"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color w:val="595959" w:themeColor="text1" w:themeTint="A6"/>
              </w:rPr>
            </w:pPr>
            <w:r w:rsidRPr="00313BED">
              <w:rPr>
                <w:b/>
                <w:color w:val="595959" w:themeColor="text1" w:themeTint="A6"/>
                <w:lang w:val="en-US"/>
              </w:rPr>
              <w:t>0</w:t>
            </w:r>
            <w:r>
              <w:rPr>
                <w:b/>
                <w:color w:val="595959" w:themeColor="text1" w:themeTint="A6"/>
                <w:lang w:val="en-US"/>
              </w:rPr>
              <w:t>5</w:t>
            </w:r>
          </w:p>
        </w:tc>
        <w:tc>
          <w:tcPr>
            <w:tcW w:w="1276" w:type="dxa"/>
            <w:tcBorders>
              <w:bottom w:val="single" w:sz="4" w:space="0" w:color="808080"/>
            </w:tcBorders>
            <w:vAlign w:val="center"/>
          </w:tcPr>
          <w:p w14:paraId="5C049A58" w14:textId="77777777" w:rsidR="00653869" w:rsidRPr="00313BED" w:rsidRDefault="00653869" w:rsidP="00F44CAB">
            <w:pPr>
              <w:spacing w:before="0" w:after="0"/>
              <w:jc w:val="center"/>
              <w:cnfStyle w:val="000000000000" w:firstRow="0" w:lastRow="0" w:firstColumn="0" w:lastColumn="0" w:oddVBand="0" w:evenVBand="0" w:oddHBand="0" w:evenHBand="0" w:firstRowFirstColumn="0" w:firstRowLastColumn="0" w:lastRowFirstColumn="0" w:lastRowLastColumn="0"/>
              <w:rPr>
                <w:noProof/>
                <w:color w:val="595959" w:themeColor="text1" w:themeTint="A6"/>
                <w:lang w:eastAsia="en-GB"/>
              </w:rPr>
            </w:pPr>
            <w:r w:rsidRPr="00313BED">
              <w:rPr>
                <w:noProof/>
                <w:color w:val="595959" w:themeColor="text1" w:themeTint="A6"/>
                <w:lang w:eastAsia="en-GB"/>
              </w:rPr>
              <w:drawing>
                <wp:inline distT="0" distB="0" distL="0" distR="0" wp14:anchorId="212A09E2" wp14:editId="64C9DCCB">
                  <wp:extent cx="474452" cy="144481"/>
                  <wp:effectExtent l="0" t="0" r="190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ta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987" cy="145862"/>
                          </a:xfrm>
                          <a:prstGeom prst="rect">
                            <a:avLst/>
                          </a:prstGeom>
                        </pic:spPr>
                      </pic:pic>
                    </a:graphicData>
                  </a:graphic>
                </wp:inline>
              </w:drawing>
            </w:r>
          </w:p>
        </w:tc>
        <w:tc>
          <w:tcPr>
            <w:tcW w:w="1276" w:type="dxa"/>
            <w:vAlign w:val="center"/>
          </w:tcPr>
          <w:p w14:paraId="37A212BD"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noProof/>
                <w:color w:val="595959" w:themeColor="text1" w:themeTint="A6"/>
                <w:sz w:val="22"/>
                <w:szCs w:val="22"/>
                <w:lang w:eastAsia="en-GB"/>
              </w:rPr>
            </w:pPr>
            <w:r w:rsidRPr="00313BED">
              <w:rPr>
                <w:b/>
                <w:noProof/>
                <w:color w:val="00B050"/>
                <w:sz w:val="22"/>
                <w:szCs w:val="22"/>
                <w:lang w:eastAsia="en-GB"/>
              </w:rPr>
              <w:sym w:font="Wingdings" w:char="F0FC"/>
            </w:r>
          </w:p>
        </w:tc>
        <w:tc>
          <w:tcPr>
            <w:tcW w:w="3243" w:type="dxa"/>
            <w:vMerge/>
            <w:vAlign w:val="center"/>
          </w:tcPr>
          <w:p w14:paraId="5FB59E4C" w14:textId="77777777" w:rsidR="00653869" w:rsidRPr="00313BED" w:rsidRDefault="00653869" w:rsidP="00F44CA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noProof/>
                <w:color w:val="595959" w:themeColor="text1" w:themeTint="A6"/>
                <w:sz w:val="18"/>
                <w:szCs w:val="18"/>
                <w:lang w:eastAsia="en-GB"/>
              </w:rPr>
            </w:pPr>
          </w:p>
        </w:tc>
      </w:tr>
      <w:tr w:rsidR="00653869" w:rsidRPr="00313BED" w14:paraId="526277BE" w14:textId="77777777" w:rsidTr="00F44CAB">
        <w:trPr>
          <w:trHeight w:val="264"/>
        </w:trPr>
        <w:tc>
          <w:tcPr>
            <w:cnfStyle w:val="001000000000" w:firstRow="0" w:lastRow="0" w:firstColumn="1" w:lastColumn="0" w:oddVBand="0" w:evenVBand="0" w:oddHBand="0" w:evenHBand="0" w:firstRowFirstColumn="0" w:firstRowLastColumn="0" w:lastRowFirstColumn="0" w:lastRowLastColumn="0"/>
            <w:tcW w:w="1565" w:type="dxa"/>
            <w:vAlign w:val="center"/>
          </w:tcPr>
          <w:p w14:paraId="29E5BCB1" w14:textId="77777777" w:rsidR="00653869" w:rsidRPr="00313BED" w:rsidRDefault="00653869" w:rsidP="00F44CAB">
            <w:pPr>
              <w:spacing w:before="0" w:after="0" w:line="240" w:lineRule="auto"/>
              <w:jc w:val="center"/>
              <w:rPr>
                <w:b/>
                <w:color w:val="595959" w:themeColor="text1" w:themeTint="A6"/>
                <w:lang w:val="en-US"/>
              </w:rPr>
            </w:pPr>
            <w:r w:rsidRPr="00313BED">
              <w:rPr>
                <w:b/>
                <w:color w:val="595959" w:themeColor="text1" w:themeTint="A6"/>
                <w:lang w:val="en-US"/>
              </w:rPr>
              <w:t>Core</w:t>
            </w:r>
          </w:p>
        </w:tc>
        <w:tc>
          <w:tcPr>
            <w:tcW w:w="1434" w:type="dxa"/>
            <w:vAlign w:val="center"/>
          </w:tcPr>
          <w:p w14:paraId="6D849A9B"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color w:val="595959" w:themeColor="text1" w:themeTint="A6"/>
              </w:rPr>
            </w:pPr>
            <w:r w:rsidRPr="00313BED">
              <w:rPr>
                <w:b/>
                <w:color w:val="595959" w:themeColor="text1" w:themeTint="A6"/>
                <w:lang w:val="en-US"/>
              </w:rPr>
              <w:t>0</w:t>
            </w:r>
            <w:r>
              <w:rPr>
                <w:b/>
                <w:color w:val="595959" w:themeColor="text1" w:themeTint="A6"/>
                <w:lang w:val="en-US"/>
              </w:rPr>
              <w:t>6</w:t>
            </w:r>
          </w:p>
        </w:tc>
        <w:tc>
          <w:tcPr>
            <w:tcW w:w="1276" w:type="dxa"/>
            <w:tcBorders>
              <w:bottom w:val="single" w:sz="4" w:space="0" w:color="808080"/>
            </w:tcBorders>
            <w:vAlign w:val="center"/>
          </w:tcPr>
          <w:p w14:paraId="132C1104" w14:textId="77777777" w:rsidR="00653869" w:rsidRPr="00313BED" w:rsidRDefault="00653869" w:rsidP="00F44CAB">
            <w:pPr>
              <w:spacing w:before="0" w:after="0"/>
              <w:jc w:val="center"/>
              <w:cnfStyle w:val="000000000000" w:firstRow="0" w:lastRow="0" w:firstColumn="0" w:lastColumn="0" w:oddVBand="0" w:evenVBand="0" w:oddHBand="0" w:evenHBand="0" w:firstRowFirstColumn="0" w:firstRowLastColumn="0" w:lastRowFirstColumn="0" w:lastRowLastColumn="0"/>
              <w:rPr>
                <w:noProof/>
                <w:color w:val="595959" w:themeColor="text1" w:themeTint="A6"/>
                <w:lang w:eastAsia="en-GB"/>
              </w:rPr>
            </w:pPr>
            <w:r w:rsidRPr="00313BED">
              <w:rPr>
                <w:noProof/>
                <w:color w:val="595959" w:themeColor="text1" w:themeTint="A6"/>
                <w:lang w:eastAsia="en-GB"/>
              </w:rPr>
              <w:drawing>
                <wp:inline distT="0" distB="0" distL="0" distR="0" wp14:anchorId="2F2852B4" wp14:editId="38F9A001">
                  <wp:extent cx="474452" cy="144481"/>
                  <wp:effectExtent l="0" t="0" r="190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ta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8987" cy="145862"/>
                          </a:xfrm>
                          <a:prstGeom prst="rect">
                            <a:avLst/>
                          </a:prstGeom>
                        </pic:spPr>
                      </pic:pic>
                    </a:graphicData>
                  </a:graphic>
                </wp:inline>
              </w:drawing>
            </w:r>
          </w:p>
        </w:tc>
        <w:tc>
          <w:tcPr>
            <w:tcW w:w="1276" w:type="dxa"/>
            <w:vAlign w:val="center"/>
          </w:tcPr>
          <w:p w14:paraId="1C957EBA"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noProof/>
                <w:color w:val="595959" w:themeColor="text1" w:themeTint="A6"/>
                <w:sz w:val="22"/>
                <w:szCs w:val="22"/>
                <w:lang w:eastAsia="en-GB"/>
              </w:rPr>
            </w:pPr>
            <w:r w:rsidRPr="00313BED">
              <w:rPr>
                <w:b/>
                <w:noProof/>
                <w:color w:val="00B050"/>
                <w:sz w:val="22"/>
                <w:szCs w:val="22"/>
                <w:lang w:eastAsia="en-GB"/>
              </w:rPr>
              <w:sym w:font="Wingdings" w:char="F0FC"/>
            </w:r>
          </w:p>
        </w:tc>
        <w:tc>
          <w:tcPr>
            <w:tcW w:w="3243" w:type="dxa"/>
            <w:vMerge/>
            <w:vAlign w:val="center"/>
          </w:tcPr>
          <w:p w14:paraId="2E2B68DB" w14:textId="77777777" w:rsidR="00653869" w:rsidRPr="00313BED" w:rsidRDefault="00653869" w:rsidP="00F44CA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noProof/>
                <w:color w:val="595959" w:themeColor="text1" w:themeTint="A6"/>
                <w:sz w:val="18"/>
                <w:szCs w:val="18"/>
                <w:lang w:eastAsia="en-GB"/>
              </w:rPr>
            </w:pPr>
          </w:p>
        </w:tc>
      </w:tr>
      <w:tr w:rsidR="00653869" w:rsidRPr="00313BED" w14:paraId="53E4C1AA" w14:textId="77777777" w:rsidTr="00F44CAB">
        <w:trPr>
          <w:trHeight w:val="100"/>
        </w:trPr>
        <w:tc>
          <w:tcPr>
            <w:cnfStyle w:val="001000000000" w:firstRow="0" w:lastRow="0" w:firstColumn="1" w:lastColumn="0" w:oddVBand="0" w:evenVBand="0" w:oddHBand="0" w:evenHBand="0" w:firstRowFirstColumn="0" w:firstRowLastColumn="0" w:lastRowFirstColumn="0" w:lastRowLastColumn="0"/>
            <w:tcW w:w="1565" w:type="dxa"/>
            <w:vAlign w:val="center"/>
          </w:tcPr>
          <w:p w14:paraId="26989A3A" w14:textId="77777777" w:rsidR="00653869" w:rsidRPr="00313BED" w:rsidRDefault="00653869" w:rsidP="00F44CAB">
            <w:pPr>
              <w:spacing w:before="0" w:after="0" w:line="240" w:lineRule="auto"/>
              <w:jc w:val="center"/>
              <w:rPr>
                <w:b/>
                <w:color w:val="595959" w:themeColor="text1" w:themeTint="A6"/>
                <w:lang w:val="en-US"/>
              </w:rPr>
            </w:pPr>
            <w:r w:rsidRPr="00313BED">
              <w:rPr>
                <w:b/>
                <w:color w:val="595959" w:themeColor="text1" w:themeTint="A6"/>
                <w:lang w:val="en-US"/>
              </w:rPr>
              <w:t>Core</w:t>
            </w:r>
          </w:p>
        </w:tc>
        <w:tc>
          <w:tcPr>
            <w:tcW w:w="1434" w:type="dxa"/>
            <w:vAlign w:val="center"/>
          </w:tcPr>
          <w:p w14:paraId="4761739E"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color w:val="595959" w:themeColor="text1" w:themeTint="A6"/>
              </w:rPr>
            </w:pPr>
            <w:r w:rsidRPr="00313BED">
              <w:rPr>
                <w:b/>
                <w:color w:val="595959" w:themeColor="text1" w:themeTint="A6"/>
                <w:lang w:val="en-US"/>
              </w:rPr>
              <w:t>0</w:t>
            </w:r>
            <w:r>
              <w:rPr>
                <w:b/>
                <w:color w:val="595959" w:themeColor="text1" w:themeTint="A6"/>
                <w:lang w:val="en-US"/>
              </w:rPr>
              <w:t>7</w:t>
            </w:r>
          </w:p>
        </w:tc>
        <w:tc>
          <w:tcPr>
            <w:tcW w:w="1276" w:type="dxa"/>
            <w:tcBorders>
              <w:bottom w:val="single" w:sz="4" w:space="0" w:color="808080"/>
            </w:tcBorders>
            <w:vAlign w:val="center"/>
          </w:tcPr>
          <w:p w14:paraId="009D585B" w14:textId="77777777" w:rsidR="00653869" w:rsidRPr="00313BED" w:rsidRDefault="00653869" w:rsidP="00F44CAB">
            <w:pPr>
              <w:spacing w:before="0" w:after="0"/>
              <w:jc w:val="center"/>
              <w:cnfStyle w:val="000000000000" w:firstRow="0" w:lastRow="0" w:firstColumn="0" w:lastColumn="0" w:oddVBand="0" w:evenVBand="0" w:oddHBand="0" w:evenHBand="0" w:firstRowFirstColumn="0" w:firstRowLastColumn="0" w:lastRowFirstColumn="0" w:lastRowLastColumn="0"/>
              <w:rPr>
                <w:noProof/>
                <w:color w:val="595959" w:themeColor="text1" w:themeTint="A6"/>
                <w:lang w:eastAsia="en-GB"/>
              </w:rPr>
            </w:pPr>
            <w:r w:rsidRPr="00313BED">
              <w:rPr>
                <w:noProof/>
                <w:color w:val="595959" w:themeColor="text1" w:themeTint="A6"/>
                <w:lang w:eastAsia="en-GB"/>
              </w:rPr>
              <w:drawing>
                <wp:inline distT="0" distB="0" distL="0" distR="0" wp14:anchorId="5B7C0D52" wp14:editId="4117DD27">
                  <wp:extent cx="478987" cy="145778"/>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ta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8987" cy="145778"/>
                          </a:xfrm>
                          <a:prstGeom prst="rect">
                            <a:avLst/>
                          </a:prstGeom>
                        </pic:spPr>
                      </pic:pic>
                    </a:graphicData>
                  </a:graphic>
                </wp:inline>
              </w:drawing>
            </w:r>
          </w:p>
        </w:tc>
        <w:tc>
          <w:tcPr>
            <w:tcW w:w="1276" w:type="dxa"/>
            <w:vAlign w:val="center"/>
          </w:tcPr>
          <w:p w14:paraId="2F535A60"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noProof/>
                <w:color w:val="595959" w:themeColor="text1" w:themeTint="A6"/>
                <w:sz w:val="22"/>
                <w:szCs w:val="22"/>
                <w:lang w:eastAsia="en-GB"/>
              </w:rPr>
            </w:pPr>
            <w:r w:rsidRPr="00313BED">
              <w:rPr>
                <w:b/>
                <w:noProof/>
                <w:color w:val="00B050"/>
                <w:sz w:val="22"/>
                <w:szCs w:val="22"/>
                <w:lang w:eastAsia="en-GB"/>
              </w:rPr>
              <w:sym w:font="Wingdings" w:char="F0FC"/>
            </w:r>
          </w:p>
        </w:tc>
        <w:tc>
          <w:tcPr>
            <w:tcW w:w="3243" w:type="dxa"/>
            <w:vMerge/>
            <w:vAlign w:val="center"/>
          </w:tcPr>
          <w:p w14:paraId="2BBEDB03" w14:textId="77777777" w:rsidR="00653869" w:rsidRPr="00313BED" w:rsidRDefault="00653869" w:rsidP="00F44CA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noProof/>
                <w:color w:val="595959" w:themeColor="text1" w:themeTint="A6"/>
                <w:sz w:val="18"/>
                <w:szCs w:val="18"/>
                <w:lang w:eastAsia="en-GB"/>
              </w:rPr>
            </w:pPr>
          </w:p>
        </w:tc>
      </w:tr>
      <w:tr w:rsidR="00653869" w:rsidRPr="00313BED" w14:paraId="2193AA6E" w14:textId="77777777" w:rsidTr="00F44CAB">
        <w:trPr>
          <w:trHeight w:val="20"/>
        </w:trPr>
        <w:tc>
          <w:tcPr>
            <w:cnfStyle w:val="001000000000" w:firstRow="0" w:lastRow="0" w:firstColumn="1" w:lastColumn="0" w:oddVBand="0" w:evenVBand="0" w:oddHBand="0" w:evenHBand="0" w:firstRowFirstColumn="0" w:firstRowLastColumn="0" w:lastRowFirstColumn="0" w:lastRowLastColumn="0"/>
            <w:tcW w:w="1565" w:type="dxa"/>
            <w:vAlign w:val="center"/>
          </w:tcPr>
          <w:p w14:paraId="09E68877" w14:textId="77777777" w:rsidR="00653869" w:rsidRPr="00313BED" w:rsidRDefault="00653869" w:rsidP="00F44CAB">
            <w:pPr>
              <w:spacing w:before="0" w:after="0" w:line="240" w:lineRule="auto"/>
              <w:jc w:val="center"/>
              <w:rPr>
                <w:b/>
                <w:color w:val="595959" w:themeColor="text1" w:themeTint="A6"/>
                <w:lang w:val="en-US"/>
              </w:rPr>
            </w:pPr>
            <w:r w:rsidRPr="00313BED">
              <w:rPr>
                <w:b/>
                <w:color w:val="595959" w:themeColor="text1" w:themeTint="A6"/>
                <w:lang w:val="en-US"/>
              </w:rPr>
              <w:t>Additional</w:t>
            </w:r>
          </w:p>
        </w:tc>
        <w:tc>
          <w:tcPr>
            <w:tcW w:w="1434" w:type="dxa"/>
            <w:vAlign w:val="center"/>
          </w:tcPr>
          <w:p w14:paraId="6C0DF606"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color w:val="595959" w:themeColor="text1" w:themeTint="A6"/>
              </w:rPr>
            </w:pPr>
            <w:r w:rsidRPr="00313BED">
              <w:rPr>
                <w:b/>
                <w:color w:val="595959" w:themeColor="text1" w:themeTint="A6"/>
                <w:lang w:val="en-US"/>
              </w:rPr>
              <w:t>0</w:t>
            </w:r>
            <w:r>
              <w:rPr>
                <w:b/>
                <w:color w:val="595959" w:themeColor="text1" w:themeTint="A6"/>
                <w:lang w:val="en-US"/>
              </w:rPr>
              <w:t>8</w:t>
            </w:r>
          </w:p>
        </w:tc>
        <w:tc>
          <w:tcPr>
            <w:tcW w:w="1276" w:type="dxa"/>
            <w:tcBorders>
              <w:bottom w:val="single" w:sz="4" w:space="0" w:color="808080"/>
              <w:tr2bl w:val="single" w:sz="4" w:space="0" w:color="FF0000"/>
            </w:tcBorders>
            <w:vAlign w:val="center"/>
          </w:tcPr>
          <w:p w14:paraId="6EA4383E" w14:textId="77777777" w:rsidR="00653869" w:rsidRPr="00313BED" w:rsidRDefault="00653869" w:rsidP="00F44CAB">
            <w:pPr>
              <w:spacing w:before="0" w:after="0"/>
              <w:jc w:val="cente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313BED">
              <w:rPr>
                <w:noProof/>
                <w:color w:val="595959" w:themeColor="text1" w:themeTint="A6"/>
                <w:lang w:eastAsia="en-GB"/>
              </w:rPr>
              <w:drawing>
                <wp:inline distT="0" distB="0" distL="0" distR="0" wp14:anchorId="4B8BFD41" wp14:editId="547F8985">
                  <wp:extent cx="478987" cy="145778"/>
                  <wp:effectExtent l="0" t="0" r="0" b="6985"/>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ta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8987" cy="145778"/>
                          </a:xfrm>
                          <a:prstGeom prst="rect">
                            <a:avLst/>
                          </a:prstGeom>
                        </pic:spPr>
                      </pic:pic>
                    </a:graphicData>
                  </a:graphic>
                </wp:inline>
              </w:drawing>
            </w:r>
          </w:p>
        </w:tc>
        <w:tc>
          <w:tcPr>
            <w:tcW w:w="1276" w:type="dxa"/>
            <w:vAlign w:val="center"/>
          </w:tcPr>
          <w:p w14:paraId="2D0E8A4D"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noProof/>
                <w:color w:val="595959" w:themeColor="text1" w:themeTint="A6"/>
                <w:sz w:val="18"/>
                <w:szCs w:val="18"/>
                <w:lang w:eastAsia="en-GB"/>
              </w:rPr>
            </w:pPr>
            <w:r w:rsidRPr="00313BED">
              <w:rPr>
                <w:b/>
                <w:noProof/>
                <w:color w:val="FF0000"/>
                <w:sz w:val="18"/>
                <w:szCs w:val="18"/>
                <w:lang w:eastAsia="en-GB"/>
              </w:rPr>
              <w:t>X</w:t>
            </w:r>
          </w:p>
        </w:tc>
        <w:tc>
          <w:tcPr>
            <w:tcW w:w="3243" w:type="dxa"/>
            <w:vMerge w:val="restart"/>
            <w:vAlign w:val="center"/>
          </w:tcPr>
          <w:p w14:paraId="21DC757B" w14:textId="77777777" w:rsidR="00653869" w:rsidRPr="00313BED" w:rsidRDefault="00653869" w:rsidP="00F44CA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noProof/>
                <w:color w:val="595959" w:themeColor="text1" w:themeTint="A6"/>
                <w:lang w:eastAsia="en-GB"/>
              </w:rPr>
            </w:pPr>
            <w:r w:rsidRPr="00313BED">
              <w:rPr>
                <w:noProof/>
                <w:color w:val="595959" w:themeColor="text1" w:themeTint="A6"/>
                <w:lang w:eastAsia="en-GB"/>
              </w:rPr>
              <w:t>The lowest scoring ‘additional assessed’ indicators will not count towards the total</w:t>
            </w:r>
            <w:r w:rsidR="007807A1">
              <w:rPr>
                <w:noProof/>
                <w:color w:val="595959" w:themeColor="text1" w:themeTint="A6"/>
                <w:lang w:eastAsia="en-GB"/>
              </w:rPr>
              <w:t xml:space="preserve"> score</w:t>
            </w:r>
          </w:p>
        </w:tc>
      </w:tr>
      <w:tr w:rsidR="00653869" w:rsidRPr="00313BED" w14:paraId="7AF9163B" w14:textId="77777777" w:rsidTr="00F44CAB">
        <w:trPr>
          <w:trHeight w:val="226"/>
        </w:trPr>
        <w:tc>
          <w:tcPr>
            <w:cnfStyle w:val="001000000000" w:firstRow="0" w:lastRow="0" w:firstColumn="1" w:lastColumn="0" w:oddVBand="0" w:evenVBand="0" w:oddHBand="0" w:evenHBand="0" w:firstRowFirstColumn="0" w:firstRowLastColumn="0" w:lastRowFirstColumn="0" w:lastRowLastColumn="0"/>
            <w:tcW w:w="1565" w:type="dxa"/>
            <w:vAlign w:val="center"/>
          </w:tcPr>
          <w:p w14:paraId="38FE0106" w14:textId="77777777" w:rsidR="00653869" w:rsidRPr="00313BED" w:rsidRDefault="00653869" w:rsidP="00F44CAB">
            <w:pPr>
              <w:spacing w:before="0" w:after="0" w:line="240" w:lineRule="auto"/>
              <w:jc w:val="center"/>
              <w:rPr>
                <w:b/>
                <w:color w:val="595959" w:themeColor="text1" w:themeTint="A6"/>
                <w:lang w:val="en-US"/>
              </w:rPr>
            </w:pPr>
            <w:r w:rsidRPr="00313BED">
              <w:rPr>
                <w:b/>
                <w:color w:val="595959" w:themeColor="text1" w:themeTint="A6"/>
                <w:lang w:val="en-US"/>
              </w:rPr>
              <w:t>Additional</w:t>
            </w:r>
          </w:p>
        </w:tc>
        <w:tc>
          <w:tcPr>
            <w:tcW w:w="1434" w:type="dxa"/>
            <w:vAlign w:val="center"/>
          </w:tcPr>
          <w:p w14:paraId="037A0C77"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color w:val="595959" w:themeColor="text1" w:themeTint="A6"/>
              </w:rPr>
            </w:pPr>
            <w:r>
              <w:rPr>
                <w:b/>
                <w:color w:val="595959" w:themeColor="text1" w:themeTint="A6"/>
                <w:lang w:val="en-US"/>
              </w:rPr>
              <w:t>09</w:t>
            </w:r>
          </w:p>
        </w:tc>
        <w:tc>
          <w:tcPr>
            <w:tcW w:w="1276" w:type="dxa"/>
            <w:tcBorders>
              <w:bottom w:val="single" w:sz="4" w:space="0" w:color="808080"/>
              <w:tr2bl w:val="single" w:sz="4" w:space="0" w:color="FF0000"/>
            </w:tcBorders>
            <w:vAlign w:val="center"/>
          </w:tcPr>
          <w:p w14:paraId="7C3CD711" w14:textId="77777777" w:rsidR="00653869" w:rsidRPr="00313BED" w:rsidRDefault="00653869" w:rsidP="00F44CAB">
            <w:pPr>
              <w:spacing w:before="0" w:after="0"/>
              <w:jc w:val="center"/>
              <w:cnfStyle w:val="000000000000" w:firstRow="0" w:lastRow="0" w:firstColumn="0" w:lastColumn="0" w:oddVBand="0" w:evenVBand="0" w:oddHBand="0" w:evenHBand="0" w:firstRowFirstColumn="0" w:firstRowLastColumn="0" w:lastRowFirstColumn="0" w:lastRowLastColumn="0"/>
              <w:rPr>
                <w:noProof/>
                <w:color w:val="595959" w:themeColor="text1" w:themeTint="A6"/>
                <w:lang w:eastAsia="en-GB"/>
              </w:rPr>
            </w:pPr>
            <w:r w:rsidRPr="00313BED">
              <w:rPr>
                <w:noProof/>
                <w:color w:val="595959" w:themeColor="text1" w:themeTint="A6"/>
                <w:lang w:eastAsia="en-GB"/>
              </w:rPr>
              <w:drawing>
                <wp:inline distT="0" distB="0" distL="0" distR="0" wp14:anchorId="3BCB842A" wp14:editId="099A18BA">
                  <wp:extent cx="478984" cy="145778"/>
                  <wp:effectExtent l="0" t="0" r="0" b="6985"/>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ta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78984" cy="145778"/>
                          </a:xfrm>
                          <a:prstGeom prst="rect">
                            <a:avLst/>
                          </a:prstGeom>
                        </pic:spPr>
                      </pic:pic>
                    </a:graphicData>
                  </a:graphic>
                </wp:inline>
              </w:drawing>
            </w:r>
          </w:p>
        </w:tc>
        <w:tc>
          <w:tcPr>
            <w:tcW w:w="1276" w:type="dxa"/>
            <w:vAlign w:val="center"/>
          </w:tcPr>
          <w:p w14:paraId="45139CF7"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noProof/>
                <w:color w:val="595959" w:themeColor="text1" w:themeTint="A6"/>
                <w:sz w:val="18"/>
                <w:szCs w:val="18"/>
                <w:lang w:eastAsia="en-GB"/>
              </w:rPr>
            </w:pPr>
            <w:r w:rsidRPr="00313BED">
              <w:rPr>
                <w:b/>
                <w:noProof/>
                <w:color w:val="FF0000"/>
                <w:sz w:val="18"/>
                <w:szCs w:val="18"/>
                <w:lang w:eastAsia="en-GB"/>
              </w:rPr>
              <w:t>X</w:t>
            </w:r>
          </w:p>
        </w:tc>
        <w:tc>
          <w:tcPr>
            <w:tcW w:w="3243" w:type="dxa"/>
            <w:vMerge/>
            <w:vAlign w:val="center"/>
          </w:tcPr>
          <w:p w14:paraId="1C7977E4" w14:textId="77777777" w:rsidR="00653869" w:rsidRPr="00313BED" w:rsidRDefault="00653869" w:rsidP="00F44CA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noProof/>
                <w:color w:val="595959" w:themeColor="text1" w:themeTint="A6"/>
                <w:sz w:val="18"/>
                <w:szCs w:val="18"/>
                <w:lang w:eastAsia="en-GB"/>
              </w:rPr>
            </w:pPr>
          </w:p>
        </w:tc>
      </w:tr>
      <w:tr w:rsidR="00653869" w:rsidRPr="00313BED" w14:paraId="3089F1E6" w14:textId="77777777" w:rsidTr="00F44CAB">
        <w:trPr>
          <w:trHeight w:val="76"/>
        </w:trPr>
        <w:tc>
          <w:tcPr>
            <w:cnfStyle w:val="001000000000" w:firstRow="0" w:lastRow="0" w:firstColumn="1" w:lastColumn="0" w:oddVBand="0" w:evenVBand="0" w:oddHBand="0" w:evenHBand="0" w:firstRowFirstColumn="0" w:firstRowLastColumn="0" w:lastRowFirstColumn="0" w:lastRowLastColumn="0"/>
            <w:tcW w:w="1565" w:type="dxa"/>
            <w:vAlign w:val="center"/>
          </w:tcPr>
          <w:p w14:paraId="40D6BC4F" w14:textId="77777777" w:rsidR="00653869" w:rsidRPr="00313BED" w:rsidRDefault="00653869" w:rsidP="00F44CAB">
            <w:pPr>
              <w:spacing w:before="0" w:after="0" w:line="240" w:lineRule="auto"/>
              <w:jc w:val="center"/>
              <w:rPr>
                <w:b/>
                <w:color w:val="595959" w:themeColor="text1" w:themeTint="A6"/>
                <w:lang w:val="en-US"/>
              </w:rPr>
            </w:pPr>
            <w:r w:rsidRPr="00313BED">
              <w:rPr>
                <w:b/>
                <w:color w:val="595959" w:themeColor="text1" w:themeTint="A6"/>
                <w:lang w:val="en-US"/>
              </w:rPr>
              <w:t>Additional</w:t>
            </w:r>
          </w:p>
        </w:tc>
        <w:tc>
          <w:tcPr>
            <w:tcW w:w="1434" w:type="dxa"/>
            <w:vAlign w:val="center"/>
          </w:tcPr>
          <w:p w14:paraId="09030BAD"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color w:val="595959" w:themeColor="text1" w:themeTint="A6"/>
              </w:rPr>
            </w:pPr>
            <w:r>
              <w:rPr>
                <w:b/>
                <w:color w:val="595959" w:themeColor="text1" w:themeTint="A6"/>
                <w:lang w:val="en-US"/>
              </w:rPr>
              <w:t>10</w:t>
            </w:r>
          </w:p>
        </w:tc>
        <w:tc>
          <w:tcPr>
            <w:tcW w:w="1276" w:type="dxa"/>
            <w:tcBorders>
              <w:bottom w:val="single" w:sz="4" w:space="0" w:color="808080"/>
            </w:tcBorders>
            <w:vAlign w:val="center"/>
          </w:tcPr>
          <w:p w14:paraId="54E3B1AE" w14:textId="77777777" w:rsidR="00653869" w:rsidRPr="00313BED" w:rsidRDefault="00653869" w:rsidP="00F44CAB">
            <w:pPr>
              <w:spacing w:before="0" w:after="0"/>
              <w:jc w:val="cente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313BED">
              <w:rPr>
                <w:noProof/>
                <w:color w:val="595959" w:themeColor="text1" w:themeTint="A6"/>
                <w:lang w:eastAsia="en-GB"/>
              </w:rPr>
              <w:drawing>
                <wp:inline distT="0" distB="0" distL="0" distR="0" wp14:anchorId="77B34666" wp14:editId="33A0A50D">
                  <wp:extent cx="474452" cy="144481"/>
                  <wp:effectExtent l="0" t="0" r="1905" b="8255"/>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ta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4452" cy="144481"/>
                          </a:xfrm>
                          <a:prstGeom prst="rect">
                            <a:avLst/>
                          </a:prstGeom>
                        </pic:spPr>
                      </pic:pic>
                    </a:graphicData>
                  </a:graphic>
                </wp:inline>
              </w:drawing>
            </w:r>
          </w:p>
        </w:tc>
        <w:tc>
          <w:tcPr>
            <w:tcW w:w="1276" w:type="dxa"/>
            <w:vAlign w:val="center"/>
          </w:tcPr>
          <w:p w14:paraId="3E244524"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noProof/>
                <w:color w:val="595959" w:themeColor="text1" w:themeTint="A6"/>
                <w:sz w:val="22"/>
                <w:szCs w:val="22"/>
                <w:lang w:eastAsia="en-GB"/>
              </w:rPr>
            </w:pPr>
            <w:r w:rsidRPr="00313BED">
              <w:rPr>
                <w:b/>
                <w:noProof/>
                <w:color w:val="00B050"/>
                <w:sz w:val="22"/>
                <w:szCs w:val="22"/>
                <w:lang w:eastAsia="en-GB"/>
              </w:rPr>
              <w:sym w:font="Wingdings" w:char="F0FC"/>
            </w:r>
          </w:p>
        </w:tc>
        <w:tc>
          <w:tcPr>
            <w:tcW w:w="3243" w:type="dxa"/>
            <w:vMerge w:val="restart"/>
            <w:vAlign w:val="center"/>
          </w:tcPr>
          <w:p w14:paraId="107D4342" w14:textId="77777777" w:rsidR="00653869" w:rsidRPr="00313BED" w:rsidRDefault="00653869" w:rsidP="007A3132">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noProof/>
                <w:color w:val="595959" w:themeColor="text1" w:themeTint="A6"/>
                <w:lang w:eastAsia="en-GB"/>
              </w:rPr>
            </w:pPr>
            <w:r w:rsidRPr="00313BED">
              <w:rPr>
                <w:noProof/>
                <w:color w:val="595959" w:themeColor="text1" w:themeTint="A6"/>
                <w:lang w:eastAsia="en-GB"/>
              </w:rPr>
              <w:t xml:space="preserve">Highest scoring </w:t>
            </w:r>
            <w:r w:rsidR="00372CA1">
              <w:rPr>
                <w:noProof/>
                <w:color w:val="595959" w:themeColor="text1" w:themeTint="A6"/>
                <w:lang w:eastAsia="en-GB"/>
              </w:rPr>
              <w:t>‘</w:t>
            </w:r>
            <w:r w:rsidRPr="00313BED">
              <w:rPr>
                <w:noProof/>
                <w:color w:val="595959" w:themeColor="text1" w:themeTint="A6"/>
                <w:lang w:eastAsia="en-GB"/>
              </w:rPr>
              <w:t xml:space="preserve">additional </w:t>
            </w:r>
            <w:r w:rsidR="00372CA1">
              <w:rPr>
                <w:noProof/>
                <w:color w:val="595959" w:themeColor="text1" w:themeTint="A6"/>
                <w:lang w:eastAsia="en-GB"/>
              </w:rPr>
              <w:t xml:space="preserve">assessed’ </w:t>
            </w:r>
            <w:r w:rsidRPr="00313BED">
              <w:rPr>
                <w:noProof/>
                <w:color w:val="595959" w:themeColor="text1" w:themeTint="A6"/>
                <w:lang w:eastAsia="en-GB"/>
              </w:rPr>
              <w:t>indicator</w:t>
            </w:r>
            <w:r>
              <w:rPr>
                <w:noProof/>
                <w:color w:val="595959" w:themeColor="text1" w:themeTint="A6"/>
                <w:lang w:eastAsia="en-GB"/>
              </w:rPr>
              <w:t xml:space="preserve">s </w:t>
            </w:r>
            <w:r w:rsidR="007807A1">
              <w:rPr>
                <w:noProof/>
                <w:color w:val="595959" w:themeColor="text1" w:themeTint="A6"/>
                <w:lang w:eastAsia="en-GB"/>
              </w:rPr>
              <w:t>will count towards the total score</w:t>
            </w:r>
          </w:p>
        </w:tc>
      </w:tr>
      <w:tr w:rsidR="00653869" w:rsidRPr="00313BED" w14:paraId="6B0818AD" w14:textId="77777777" w:rsidTr="00F44CAB">
        <w:trPr>
          <w:trHeight w:val="209"/>
        </w:trPr>
        <w:tc>
          <w:tcPr>
            <w:cnfStyle w:val="001000000000" w:firstRow="0" w:lastRow="0" w:firstColumn="1" w:lastColumn="0" w:oddVBand="0" w:evenVBand="0" w:oddHBand="0" w:evenHBand="0" w:firstRowFirstColumn="0" w:firstRowLastColumn="0" w:lastRowFirstColumn="0" w:lastRowLastColumn="0"/>
            <w:tcW w:w="1565" w:type="dxa"/>
            <w:vAlign w:val="center"/>
          </w:tcPr>
          <w:p w14:paraId="3711E3DD" w14:textId="77777777" w:rsidR="00653869" w:rsidRPr="00313BED" w:rsidRDefault="00653869" w:rsidP="00F44CAB">
            <w:pPr>
              <w:spacing w:before="0" w:after="0" w:line="240" w:lineRule="auto"/>
              <w:jc w:val="center"/>
              <w:rPr>
                <w:b/>
                <w:color w:val="595959" w:themeColor="text1" w:themeTint="A6"/>
                <w:lang w:val="en-US"/>
              </w:rPr>
            </w:pPr>
            <w:r w:rsidRPr="00313BED">
              <w:rPr>
                <w:b/>
                <w:color w:val="595959" w:themeColor="text1" w:themeTint="A6"/>
                <w:lang w:val="en-US"/>
              </w:rPr>
              <w:t>Additional</w:t>
            </w:r>
          </w:p>
        </w:tc>
        <w:tc>
          <w:tcPr>
            <w:tcW w:w="1434" w:type="dxa"/>
            <w:vAlign w:val="center"/>
          </w:tcPr>
          <w:p w14:paraId="445F70EC"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color w:val="595959" w:themeColor="text1" w:themeTint="A6"/>
              </w:rPr>
            </w:pPr>
            <w:r>
              <w:rPr>
                <w:b/>
                <w:color w:val="595959" w:themeColor="text1" w:themeTint="A6"/>
                <w:lang w:val="en-US"/>
              </w:rPr>
              <w:t>11</w:t>
            </w:r>
          </w:p>
        </w:tc>
        <w:tc>
          <w:tcPr>
            <w:tcW w:w="1276" w:type="dxa"/>
            <w:tcBorders>
              <w:bottom w:val="single" w:sz="4" w:space="0" w:color="808080"/>
            </w:tcBorders>
            <w:vAlign w:val="center"/>
          </w:tcPr>
          <w:p w14:paraId="1C7BED32" w14:textId="77777777" w:rsidR="00653869" w:rsidRPr="00313BED" w:rsidRDefault="00653869" w:rsidP="00F44CAB">
            <w:pPr>
              <w:spacing w:before="0" w:after="0"/>
              <w:jc w:val="cente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313BED">
              <w:rPr>
                <w:noProof/>
                <w:color w:val="595959" w:themeColor="text1" w:themeTint="A6"/>
                <w:lang w:eastAsia="en-GB"/>
              </w:rPr>
              <w:drawing>
                <wp:inline distT="0" distB="0" distL="0" distR="0" wp14:anchorId="34E8B013" wp14:editId="5DB7A643">
                  <wp:extent cx="474452" cy="144481"/>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ta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4452" cy="144481"/>
                          </a:xfrm>
                          <a:prstGeom prst="rect">
                            <a:avLst/>
                          </a:prstGeom>
                        </pic:spPr>
                      </pic:pic>
                    </a:graphicData>
                  </a:graphic>
                </wp:inline>
              </w:drawing>
            </w:r>
          </w:p>
        </w:tc>
        <w:tc>
          <w:tcPr>
            <w:tcW w:w="1276" w:type="dxa"/>
            <w:vAlign w:val="center"/>
          </w:tcPr>
          <w:p w14:paraId="59475A60"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noProof/>
                <w:color w:val="595959" w:themeColor="text1" w:themeTint="A6"/>
                <w:sz w:val="22"/>
                <w:szCs w:val="22"/>
                <w:lang w:eastAsia="en-GB"/>
              </w:rPr>
            </w:pPr>
            <w:r w:rsidRPr="00313BED">
              <w:rPr>
                <w:b/>
                <w:noProof/>
                <w:color w:val="00B050"/>
                <w:sz w:val="22"/>
                <w:szCs w:val="22"/>
                <w:lang w:eastAsia="en-GB"/>
              </w:rPr>
              <w:sym w:font="Wingdings" w:char="F0FC"/>
            </w:r>
          </w:p>
        </w:tc>
        <w:tc>
          <w:tcPr>
            <w:tcW w:w="3243" w:type="dxa"/>
            <w:vMerge/>
            <w:vAlign w:val="center"/>
          </w:tcPr>
          <w:p w14:paraId="2162EC18" w14:textId="77777777" w:rsidR="00653869" w:rsidRPr="00313BED" w:rsidRDefault="00653869" w:rsidP="00F44CA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noProof/>
                <w:color w:val="595959" w:themeColor="text1" w:themeTint="A6"/>
                <w:lang w:eastAsia="en-GB"/>
              </w:rPr>
            </w:pPr>
          </w:p>
        </w:tc>
      </w:tr>
      <w:tr w:rsidR="00653869" w:rsidRPr="00313BED" w14:paraId="135545DA" w14:textId="77777777" w:rsidTr="00F44CAB">
        <w:trPr>
          <w:trHeight w:val="216"/>
        </w:trPr>
        <w:tc>
          <w:tcPr>
            <w:cnfStyle w:val="001000000000" w:firstRow="0" w:lastRow="0" w:firstColumn="1" w:lastColumn="0" w:oddVBand="0" w:evenVBand="0" w:oddHBand="0" w:evenHBand="0" w:firstRowFirstColumn="0" w:firstRowLastColumn="0" w:lastRowFirstColumn="0" w:lastRowLastColumn="0"/>
            <w:tcW w:w="1565" w:type="dxa"/>
            <w:vAlign w:val="center"/>
          </w:tcPr>
          <w:p w14:paraId="30A79B63" w14:textId="77777777" w:rsidR="00653869" w:rsidRPr="00313BED" w:rsidRDefault="00653869" w:rsidP="00F44CAB">
            <w:pPr>
              <w:spacing w:before="0" w:after="0" w:line="240" w:lineRule="auto"/>
              <w:jc w:val="center"/>
              <w:rPr>
                <w:b/>
                <w:color w:val="595959" w:themeColor="text1" w:themeTint="A6"/>
                <w:lang w:val="en-US"/>
              </w:rPr>
            </w:pPr>
            <w:r w:rsidRPr="00313BED">
              <w:rPr>
                <w:b/>
                <w:color w:val="595959" w:themeColor="text1" w:themeTint="A6"/>
                <w:lang w:val="en-US"/>
              </w:rPr>
              <w:t>Additional</w:t>
            </w:r>
          </w:p>
        </w:tc>
        <w:tc>
          <w:tcPr>
            <w:tcW w:w="1434" w:type="dxa"/>
            <w:vAlign w:val="center"/>
          </w:tcPr>
          <w:p w14:paraId="2900E63B"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color w:val="595959" w:themeColor="text1" w:themeTint="A6"/>
              </w:rPr>
            </w:pPr>
            <w:r>
              <w:rPr>
                <w:b/>
                <w:color w:val="595959" w:themeColor="text1" w:themeTint="A6"/>
                <w:lang w:val="en-US"/>
              </w:rPr>
              <w:t>12</w:t>
            </w:r>
          </w:p>
        </w:tc>
        <w:tc>
          <w:tcPr>
            <w:tcW w:w="1276" w:type="dxa"/>
            <w:tcBorders>
              <w:bottom w:val="single" w:sz="4" w:space="0" w:color="808080"/>
            </w:tcBorders>
            <w:vAlign w:val="center"/>
          </w:tcPr>
          <w:p w14:paraId="228D20EE" w14:textId="77777777" w:rsidR="00653869" w:rsidRPr="00313BED" w:rsidRDefault="00003674" w:rsidP="00F44CAB">
            <w:pPr>
              <w:spacing w:before="0" w:after="0"/>
              <w:jc w:val="cente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313BED">
              <w:rPr>
                <w:noProof/>
                <w:color w:val="595959" w:themeColor="text1" w:themeTint="A6"/>
                <w:lang w:eastAsia="en-GB"/>
              </w:rPr>
              <w:drawing>
                <wp:inline distT="0" distB="0" distL="0" distR="0" wp14:anchorId="69723E9D" wp14:editId="5ED90AEA">
                  <wp:extent cx="478987" cy="145778"/>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ta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987" cy="145778"/>
                          </a:xfrm>
                          <a:prstGeom prst="rect">
                            <a:avLst/>
                          </a:prstGeom>
                        </pic:spPr>
                      </pic:pic>
                    </a:graphicData>
                  </a:graphic>
                </wp:inline>
              </w:drawing>
            </w:r>
          </w:p>
        </w:tc>
        <w:tc>
          <w:tcPr>
            <w:tcW w:w="1276" w:type="dxa"/>
            <w:vAlign w:val="center"/>
          </w:tcPr>
          <w:p w14:paraId="1B35067B"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noProof/>
                <w:color w:val="595959" w:themeColor="text1" w:themeTint="A6"/>
                <w:sz w:val="22"/>
                <w:szCs w:val="22"/>
                <w:lang w:eastAsia="en-GB"/>
              </w:rPr>
            </w:pPr>
            <w:r w:rsidRPr="00313BED">
              <w:rPr>
                <w:b/>
                <w:noProof/>
                <w:color w:val="00B050"/>
                <w:sz w:val="22"/>
                <w:szCs w:val="22"/>
                <w:lang w:eastAsia="en-GB"/>
              </w:rPr>
              <w:sym w:font="Wingdings" w:char="F0FC"/>
            </w:r>
          </w:p>
        </w:tc>
        <w:tc>
          <w:tcPr>
            <w:tcW w:w="3243" w:type="dxa"/>
            <w:vMerge/>
            <w:vAlign w:val="center"/>
          </w:tcPr>
          <w:p w14:paraId="5C46631D" w14:textId="77777777" w:rsidR="00653869" w:rsidRPr="00313BED" w:rsidRDefault="00653869" w:rsidP="00F44CA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
                <w:noProof/>
                <w:color w:val="595959" w:themeColor="text1" w:themeTint="A6"/>
                <w:lang w:eastAsia="en-GB"/>
              </w:rPr>
            </w:pPr>
          </w:p>
        </w:tc>
      </w:tr>
      <w:tr w:rsidR="00653869" w:rsidRPr="00313BED" w14:paraId="5F40664A" w14:textId="77777777" w:rsidTr="00F44CAB">
        <w:trPr>
          <w:trHeight w:val="20"/>
        </w:trPr>
        <w:tc>
          <w:tcPr>
            <w:cnfStyle w:val="001000000000" w:firstRow="0" w:lastRow="0" w:firstColumn="1" w:lastColumn="0" w:oddVBand="0" w:evenVBand="0" w:oddHBand="0" w:evenHBand="0" w:firstRowFirstColumn="0" w:firstRowLastColumn="0" w:lastRowFirstColumn="0" w:lastRowLastColumn="0"/>
            <w:tcW w:w="2999" w:type="dxa"/>
            <w:gridSpan w:val="2"/>
            <w:vAlign w:val="center"/>
          </w:tcPr>
          <w:p w14:paraId="49656867" w14:textId="77777777" w:rsidR="00653869" w:rsidRPr="00313BED" w:rsidRDefault="0039115D" w:rsidP="00F44CAB">
            <w:pPr>
              <w:spacing w:before="0" w:after="0" w:line="240" w:lineRule="auto"/>
              <w:jc w:val="center"/>
              <w:rPr>
                <w:color w:val="595959" w:themeColor="text1" w:themeTint="A6"/>
                <w:lang w:val="en-US"/>
              </w:rPr>
            </w:pPr>
            <w:r>
              <w:rPr>
                <w:b/>
                <w:color w:val="595959" w:themeColor="text1" w:themeTint="A6"/>
                <w:lang w:val="en-US"/>
              </w:rPr>
              <w:t xml:space="preserve">MODULE </w:t>
            </w:r>
            <w:r w:rsidR="00653869" w:rsidRPr="00313BED">
              <w:rPr>
                <w:b/>
                <w:color w:val="595959" w:themeColor="text1" w:themeTint="A6"/>
                <w:lang w:val="en-US"/>
              </w:rPr>
              <w:t>TOTAL</w:t>
            </w:r>
          </w:p>
        </w:tc>
        <w:tc>
          <w:tcPr>
            <w:tcW w:w="2552" w:type="dxa"/>
            <w:gridSpan w:val="2"/>
            <w:tcBorders>
              <w:right w:val="single" w:sz="4" w:space="0" w:color="808080"/>
            </w:tcBorders>
            <w:vAlign w:val="center"/>
          </w:tcPr>
          <w:p w14:paraId="526317B3" w14:textId="77777777" w:rsidR="00653869" w:rsidRPr="00313BED" w:rsidRDefault="00653869" w:rsidP="00F44CA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i/>
                <w:noProof/>
                <w:color w:val="595959" w:themeColor="text1" w:themeTint="A6"/>
                <w:lang w:eastAsia="en-GB"/>
              </w:rPr>
            </w:pPr>
            <w:r>
              <w:rPr>
                <w:b/>
                <w:noProof/>
                <w:color w:val="595959" w:themeColor="text1" w:themeTint="A6"/>
                <w:lang w:eastAsia="en-GB"/>
              </w:rPr>
              <w:t>2</w:t>
            </w:r>
            <w:r w:rsidR="00003674">
              <w:rPr>
                <w:b/>
                <w:noProof/>
                <w:color w:val="595959" w:themeColor="text1" w:themeTint="A6"/>
                <w:lang w:eastAsia="en-GB"/>
              </w:rPr>
              <w:t>7</w:t>
            </w:r>
            <w:r w:rsidRPr="00313BED">
              <w:rPr>
                <w:color w:val="1F497D" w:themeColor="text2"/>
                <w:sz w:val="24"/>
                <w:szCs w:val="24"/>
              </w:rPr>
              <w:sym w:font="Wingdings" w:char="F0AB"/>
            </w:r>
            <w:r w:rsidRPr="00313BED">
              <w:rPr>
                <w:color w:val="595959" w:themeColor="text1" w:themeTint="A6"/>
                <w:sz w:val="24"/>
                <w:szCs w:val="24"/>
              </w:rPr>
              <w:t xml:space="preserve"> </w:t>
            </w:r>
            <w:r w:rsidRPr="00313BED">
              <w:rPr>
                <w:color w:val="595959" w:themeColor="text1" w:themeTint="A6"/>
                <w:sz w:val="16"/>
                <w:szCs w:val="16"/>
              </w:rPr>
              <w:t xml:space="preserve">(Maximum </w:t>
            </w:r>
            <w:r>
              <w:rPr>
                <w:color w:val="595959" w:themeColor="text1" w:themeTint="A6"/>
                <w:sz w:val="16"/>
                <w:szCs w:val="16"/>
              </w:rPr>
              <w:t>30</w:t>
            </w:r>
            <w:r w:rsidRPr="00313BED">
              <w:rPr>
                <w:color w:val="1F497D" w:themeColor="text2"/>
                <w:sz w:val="16"/>
                <w:szCs w:val="16"/>
              </w:rPr>
              <w:sym w:font="Wingdings" w:char="F0AB"/>
            </w:r>
            <w:r w:rsidRPr="00313BED">
              <w:rPr>
                <w:color w:val="595959" w:themeColor="text1" w:themeTint="A6"/>
                <w:sz w:val="16"/>
                <w:szCs w:val="16"/>
              </w:rPr>
              <w:t xml:space="preserve">) </w:t>
            </w:r>
          </w:p>
        </w:tc>
        <w:tc>
          <w:tcPr>
            <w:tcW w:w="3243" w:type="dxa"/>
            <w:tcBorders>
              <w:left w:val="single" w:sz="4" w:space="0" w:color="808080"/>
            </w:tcBorders>
          </w:tcPr>
          <w:p w14:paraId="3E911787" w14:textId="77777777" w:rsidR="00653869" w:rsidRPr="00313BED" w:rsidRDefault="00653869" w:rsidP="00F44CAB">
            <w:pPr>
              <w:spacing w:before="0" w:after="0" w:line="240" w:lineRule="auto"/>
              <w:cnfStyle w:val="000000000000" w:firstRow="0" w:lastRow="0" w:firstColumn="0" w:lastColumn="0" w:oddVBand="0" w:evenVBand="0" w:oddHBand="0" w:evenHBand="0" w:firstRowFirstColumn="0" w:firstRowLastColumn="0" w:lastRowFirstColumn="0" w:lastRowLastColumn="0"/>
              <w:rPr>
                <w:noProof/>
                <w:color w:val="595959" w:themeColor="text1" w:themeTint="A6"/>
                <w:sz w:val="18"/>
                <w:szCs w:val="18"/>
                <w:lang w:eastAsia="en-GB"/>
              </w:rPr>
            </w:pPr>
          </w:p>
        </w:tc>
      </w:tr>
      <w:tr w:rsidR="006653B4" w:rsidRPr="00313BED" w14:paraId="1DC7E4FA" w14:textId="77777777" w:rsidTr="005F0BD4">
        <w:trPr>
          <w:trHeight w:val="20"/>
        </w:trPr>
        <w:tc>
          <w:tcPr>
            <w:cnfStyle w:val="001000000000" w:firstRow="0" w:lastRow="0" w:firstColumn="1" w:lastColumn="0" w:oddVBand="0" w:evenVBand="0" w:oddHBand="0" w:evenHBand="0" w:firstRowFirstColumn="0" w:firstRowLastColumn="0" w:lastRowFirstColumn="0" w:lastRowLastColumn="0"/>
            <w:tcW w:w="2999" w:type="dxa"/>
            <w:gridSpan w:val="2"/>
            <w:vAlign w:val="center"/>
          </w:tcPr>
          <w:p w14:paraId="44A11354" w14:textId="77777777" w:rsidR="006653B4" w:rsidRPr="00313BED" w:rsidRDefault="0039115D" w:rsidP="005B7AEA">
            <w:pPr>
              <w:spacing w:before="0" w:after="0" w:line="240" w:lineRule="auto"/>
              <w:jc w:val="center"/>
              <w:rPr>
                <w:color w:val="595959" w:themeColor="text1" w:themeTint="A6"/>
                <w:lang w:val="en-US"/>
              </w:rPr>
            </w:pPr>
            <w:r>
              <w:rPr>
                <w:b/>
                <w:color w:val="595959" w:themeColor="text1" w:themeTint="A6"/>
                <w:lang w:val="en-US"/>
              </w:rPr>
              <w:t>MODULE SCORE</w:t>
            </w:r>
          </w:p>
        </w:tc>
        <w:tc>
          <w:tcPr>
            <w:tcW w:w="2552" w:type="dxa"/>
            <w:gridSpan w:val="2"/>
            <w:vAlign w:val="center"/>
          </w:tcPr>
          <w:p w14:paraId="726F4D50" w14:textId="77777777" w:rsidR="006653B4" w:rsidRPr="00313BED" w:rsidRDefault="006653B4" w:rsidP="0039115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i/>
                <w:noProof/>
                <w:color w:val="595959" w:themeColor="text1" w:themeTint="A6"/>
                <w:lang w:eastAsia="en-GB"/>
              </w:rPr>
            </w:pPr>
            <w:r>
              <w:rPr>
                <w:b/>
                <w:noProof/>
                <w:color w:val="595959" w:themeColor="text1" w:themeTint="A6"/>
                <w:lang w:eastAsia="en-GB"/>
              </w:rPr>
              <w:t>A</w:t>
            </w:r>
          </w:p>
        </w:tc>
        <w:tc>
          <w:tcPr>
            <w:tcW w:w="3243" w:type="dxa"/>
          </w:tcPr>
          <w:p w14:paraId="32F5E110" w14:textId="77777777" w:rsidR="006653B4" w:rsidRPr="00313BED" w:rsidRDefault="006653B4" w:rsidP="00087BDF">
            <w:pPr>
              <w:spacing w:before="0" w:after="0" w:line="240" w:lineRule="auto"/>
              <w:cnfStyle w:val="000000000000" w:firstRow="0" w:lastRow="0" w:firstColumn="0" w:lastColumn="0" w:oddVBand="0" w:evenVBand="0" w:oddHBand="0" w:evenHBand="0" w:firstRowFirstColumn="0" w:firstRowLastColumn="0" w:lastRowFirstColumn="0" w:lastRowLastColumn="0"/>
              <w:rPr>
                <w:noProof/>
                <w:color w:val="595959" w:themeColor="text1" w:themeTint="A6"/>
                <w:sz w:val="18"/>
                <w:szCs w:val="18"/>
                <w:lang w:eastAsia="en-GB"/>
              </w:rPr>
            </w:pPr>
            <w:r>
              <w:rPr>
                <w:noProof/>
                <w:color w:val="595959" w:themeColor="text1" w:themeTint="A6"/>
                <w:sz w:val="18"/>
                <w:szCs w:val="18"/>
                <w:lang w:eastAsia="en-GB"/>
              </w:rPr>
              <w:t>(based on the 90% achieved: 27</w:t>
            </w:r>
            <w:r w:rsidR="005B7AEA" w:rsidRPr="00313BED">
              <w:rPr>
                <w:color w:val="1F497D" w:themeColor="text2"/>
                <w:sz w:val="16"/>
                <w:szCs w:val="16"/>
              </w:rPr>
              <w:sym w:font="Wingdings" w:char="F0AB"/>
            </w:r>
            <w:r>
              <w:rPr>
                <w:noProof/>
                <w:color w:val="595959" w:themeColor="text1" w:themeTint="A6"/>
                <w:sz w:val="18"/>
                <w:szCs w:val="18"/>
                <w:lang w:eastAsia="en-GB"/>
              </w:rPr>
              <w:t>/30</w:t>
            </w:r>
            <w:r w:rsidR="005B7AEA" w:rsidRPr="00313BED">
              <w:rPr>
                <w:color w:val="1F497D" w:themeColor="text2"/>
                <w:sz w:val="16"/>
                <w:szCs w:val="16"/>
              </w:rPr>
              <w:sym w:font="Wingdings" w:char="F0AB"/>
            </w:r>
            <w:r>
              <w:rPr>
                <w:noProof/>
                <w:color w:val="595959" w:themeColor="text1" w:themeTint="A6"/>
                <w:sz w:val="18"/>
                <w:szCs w:val="18"/>
                <w:lang w:eastAsia="en-GB"/>
              </w:rPr>
              <w:t>)</w:t>
            </w:r>
          </w:p>
        </w:tc>
      </w:tr>
    </w:tbl>
    <w:p w14:paraId="18A80D36" w14:textId="77777777" w:rsidR="00F40A8F" w:rsidRDefault="00F40A8F">
      <w:pPr>
        <w:widowControl/>
        <w:autoSpaceDE/>
        <w:autoSpaceDN/>
        <w:adjustRightInd/>
        <w:spacing w:before="0" w:after="0" w:line="240" w:lineRule="auto"/>
      </w:pPr>
    </w:p>
    <w:p w14:paraId="020F818D" w14:textId="77777777" w:rsidR="00167BCD" w:rsidRDefault="00167BCD">
      <w:pPr>
        <w:widowControl/>
        <w:autoSpaceDE/>
        <w:autoSpaceDN/>
        <w:adjustRightInd/>
        <w:spacing w:before="0" w:after="0" w:line="240" w:lineRule="auto"/>
      </w:pPr>
      <w:r>
        <w:br w:type="page"/>
      </w:r>
    </w:p>
    <w:p w14:paraId="06D7F186" w14:textId="45702E53" w:rsidR="002677EC" w:rsidRDefault="005C19D0" w:rsidP="005C19D0">
      <w:pPr>
        <w:jc w:val="both"/>
      </w:pPr>
      <w:r>
        <w:lastRenderedPageBreak/>
        <w:t xml:space="preserve">The graph below presents how </w:t>
      </w:r>
      <w:r w:rsidR="00972121">
        <w:t>‘</w:t>
      </w:r>
      <w:r w:rsidR="00814C74">
        <w:t>C</w:t>
      </w:r>
      <w:r w:rsidR="00972121">
        <w:t>ore’ and ‘</w:t>
      </w:r>
      <w:r w:rsidR="00814C74">
        <w:t>A</w:t>
      </w:r>
      <w:r w:rsidR="00972121">
        <w:t xml:space="preserve">dditional’ assessed indicators are combined for </w:t>
      </w:r>
      <w:r w:rsidR="006F3BB9">
        <w:t xml:space="preserve">your </w:t>
      </w:r>
      <w:r w:rsidR="006500F6">
        <w:t>Module Score based on the</w:t>
      </w:r>
      <w:r w:rsidR="00972121">
        <w:t xml:space="preserve"> number of indicators in the</w:t>
      </w:r>
      <w:r w:rsidR="006500F6">
        <w:t xml:space="preserve"> example above.</w:t>
      </w:r>
    </w:p>
    <w:p w14:paraId="0F53002E" w14:textId="77777777" w:rsidR="0031249B" w:rsidRDefault="0031249B" w:rsidP="005C19D0">
      <w:pPr>
        <w:jc w:val="both"/>
        <w:rPr>
          <w:rStyle w:val="CommentReference"/>
        </w:rPr>
      </w:pPr>
      <w:r w:rsidRPr="0031249B">
        <w:rPr>
          <w:rStyle w:val="CommentReference"/>
          <w:noProof/>
          <w:lang w:eastAsia="en-GB"/>
        </w:rPr>
        <w:drawing>
          <wp:inline distT="0" distB="0" distL="0" distR="0" wp14:anchorId="478492D7" wp14:editId="44022828">
            <wp:extent cx="5504180" cy="1994720"/>
            <wp:effectExtent l="0" t="0" r="1270" b="5715"/>
            <wp:docPr id="4" name="Picture 4" descr="C:\Users\Elina.rolfe\AppData\Local\Microsoft\Windows\INetCache\Content.Outlook\BQEHWRH2\PRI_RF_Module_Score_Diagram_AB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na.rolfe\AppData\Local\Microsoft\Windows\INetCache\Content.Outlook\BQEHWRH2\PRI_RF_Module_Score_Diagram_AB_201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04180" cy="1994720"/>
                    </a:xfrm>
                    <a:prstGeom prst="rect">
                      <a:avLst/>
                    </a:prstGeom>
                    <a:noFill/>
                    <a:ln>
                      <a:noFill/>
                    </a:ln>
                  </pic:spPr>
                </pic:pic>
              </a:graphicData>
            </a:graphic>
          </wp:inline>
        </w:drawing>
      </w:r>
    </w:p>
    <w:p w14:paraId="56E517A9" w14:textId="6B494EFE" w:rsidR="00F40A8F" w:rsidRDefault="00F40A8F" w:rsidP="004B2CF2">
      <w:pPr>
        <w:jc w:val="both"/>
      </w:pPr>
      <w:r>
        <w:t>‘Additional’ indicators</w:t>
      </w:r>
      <w:r w:rsidR="00015DA1">
        <w:t>’</w:t>
      </w:r>
      <w:r>
        <w:t xml:space="preserve"> do not just</w:t>
      </w:r>
      <w:r w:rsidR="00C746C8">
        <w:t xml:space="preserve"> </w:t>
      </w:r>
      <w:r w:rsidR="0013098E">
        <w:t>raise</w:t>
      </w:r>
      <w:r>
        <w:t xml:space="preserve"> signatories</w:t>
      </w:r>
      <w:r w:rsidR="00CA38DF">
        <w:t>’</w:t>
      </w:r>
      <w:r>
        <w:t xml:space="preserve"> scores to Band</w:t>
      </w:r>
      <w:r w:rsidR="0031249B">
        <w:t>s</w:t>
      </w:r>
      <w:r>
        <w:t xml:space="preserve"> A</w:t>
      </w:r>
      <w:r w:rsidR="0031249B">
        <w:t xml:space="preserve"> and A+</w:t>
      </w:r>
      <w:r>
        <w:t xml:space="preserve">. </w:t>
      </w:r>
      <w:r w:rsidR="007A3132">
        <w:t>Stars</w:t>
      </w:r>
      <w:r w:rsidR="00372CA1">
        <w:t xml:space="preserve"> scored in </w:t>
      </w:r>
      <w:r w:rsidR="00814C74">
        <w:t>A</w:t>
      </w:r>
      <w:r w:rsidR="00372CA1">
        <w:t xml:space="preserve">dditional indicators will always improve a signatory’s score, even if the signatory has low scores for the </w:t>
      </w:r>
      <w:r w:rsidR="007A3132">
        <w:t>‘</w:t>
      </w:r>
      <w:r w:rsidR="00C61DB4">
        <w:t>C</w:t>
      </w:r>
      <w:r w:rsidR="00372CA1">
        <w:t>ore</w:t>
      </w:r>
      <w:r w:rsidR="007A3132">
        <w:t>’</w:t>
      </w:r>
      <w:r w:rsidR="00372CA1">
        <w:t xml:space="preserve"> indicators in that module. </w:t>
      </w:r>
    </w:p>
    <w:p w14:paraId="5725ABDA" w14:textId="4392D73D" w:rsidR="00224082" w:rsidRDefault="00224082" w:rsidP="002677EC">
      <w:pPr>
        <w:pStyle w:val="Heading3"/>
      </w:pPr>
      <w:bookmarkStart w:id="9" w:name="_Toc532309329"/>
      <w:r>
        <w:t>Exceptions to simple aggregation in module scores</w:t>
      </w:r>
      <w:bookmarkEnd w:id="9"/>
      <w:r w:rsidDel="00224082">
        <w:t xml:space="preserve"> </w:t>
      </w:r>
    </w:p>
    <w:p w14:paraId="5B3EA53B" w14:textId="1E83843E" w:rsidR="00AB08EC" w:rsidRDefault="00AB08EC" w:rsidP="009B0325">
      <w:pPr>
        <w:jc w:val="both"/>
      </w:pPr>
      <w:r>
        <w:t>Generally</w:t>
      </w:r>
      <w:r w:rsidR="00EE527E">
        <w:t>,</w:t>
      </w:r>
      <w:r>
        <w:t xml:space="preserve"> </w:t>
      </w:r>
      <w:r w:rsidR="00EE527E">
        <w:t>m</w:t>
      </w:r>
      <w:r>
        <w:t xml:space="preserve">odule </w:t>
      </w:r>
      <w:r w:rsidR="00EE527E">
        <w:t>s</w:t>
      </w:r>
      <w:r>
        <w:t>cores will be calculated simply by aggregating the scores for all mandatory ‘</w:t>
      </w:r>
      <w:r w:rsidR="00C61DB4">
        <w:t>C</w:t>
      </w:r>
      <w:r>
        <w:t>ore indicators’ and the voluntary ‘</w:t>
      </w:r>
      <w:r w:rsidR="00C61DB4">
        <w:t>A</w:t>
      </w:r>
      <w:r>
        <w:t xml:space="preserve">dditional indicators’ that have not </w:t>
      </w:r>
      <w:r w:rsidR="009445EC">
        <w:t xml:space="preserve">been </w:t>
      </w:r>
      <w:r>
        <w:t>discarded in a module. The only exceptions to this will be:</w:t>
      </w:r>
    </w:p>
    <w:p w14:paraId="0D55BCE0" w14:textId="7F125070" w:rsidR="00AB08EC" w:rsidRDefault="00AB1F1F" w:rsidP="009B0325">
      <w:pPr>
        <w:pStyle w:val="ListParagraph"/>
        <w:numPr>
          <w:ilvl w:val="0"/>
          <w:numId w:val="37"/>
        </w:numPr>
        <w:jc w:val="both"/>
      </w:pPr>
      <w:r>
        <w:t>Selection, Appointment and M</w:t>
      </w:r>
      <w:r w:rsidR="00AB08EC">
        <w:t xml:space="preserve">onitoring of external managers (SAM) – each </w:t>
      </w:r>
      <w:r w:rsidR="00B45E38">
        <w:t>eight</w:t>
      </w:r>
      <w:r w:rsidR="00AA1C40">
        <w:t xml:space="preserve"> </w:t>
      </w:r>
      <w:r w:rsidR="009A4E27">
        <w:t xml:space="preserve">indirect </w:t>
      </w:r>
      <w:r w:rsidR="00AB08EC">
        <w:t>asset clas</w:t>
      </w:r>
      <w:r w:rsidR="00773DC6">
        <w:t>s</w:t>
      </w:r>
      <w:r w:rsidR="00AA1C40">
        <w:t>es</w:t>
      </w:r>
      <w:r w:rsidR="00FE014B">
        <w:t xml:space="preserve"> (e.g. Listed Equity, Private E</w:t>
      </w:r>
      <w:r w:rsidR="00AB08EC">
        <w:t xml:space="preserve">quity, </w:t>
      </w:r>
      <w:r w:rsidR="00FA3A72">
        <w:t>etc.</w:t>
      </w:r>
      <w:r w:rsidR="00AB08EC">
        <w:t>) will be</w:t>
      </w:r>
      <w:r w:rsidR="00AA1C40">
        <w:t xml:space="preserve"> scored and</w:t>
      </w:r>
      <w:r w:rsidR="00AB08EC">
        <w:t xml:space="preserve"> presented separately in the </w:t>
      </w:r>
      <w:r w:rsidR="00CD4CDE">
        <w:t>summary</w:t>
      </w:r>
      <w:r w:rsidR="00AB08EC">
        <w:t xml:space="preserve"> scorecard (See ‘</w:t>
      </w:r>
      <w:r w:rsidR="00CD4CDE">
        <w:t>Summary</w:t>
      </w:r>
      <w:r w:rsidR="00AB08EC">
        <w:t xml:space="preserve"> Scorecard below);</w:t>
      </w:r>
    </w:p>
    <w:p w14:paraId="043267A7" w14:textId="310D07B9" w:rsidR="009E7F59" w:rsidRDefault="00B85360" w:rsidP="009B0325">
      <w:pPr>
        <w:pStyle w:val="ListParagraph"/>
        <w:numPr>
          <w:ilvl w:val="0"/>
          <w:numId w:val="37"/>
        </w:numPr>
        <w:jc w:val="both"/>
      </w:pPr>
      <w:r>
        <w:t xml:space="preserve">Fixed Income (FI) – each four categories of fixed income assets (SSA, Corporate Financial, Corporate non-Financial and Securitised) will </w:t>
      </w:r>
      <w:r w:rsidR="00AA1C40">
        <w:t xml:space="preserve">also </w:t>
      </w:r>
      <w:r>
        <w:t>be scored a</w:t>
      </w:r>
      <w:r w:rsidR="00C61DB4">
        <w:t>nd presented separately in the Summary S</w:t>
      </w:r>
      <w:r>
        <w:t>corecard.</w:t>
      </w:r>
    </w:p>
    <w:p w14:paraId="2D3B9B31" w14:textId="31EDEEB8" w:rsidR="008C4EAA" w:rsidRDefault="00AB08EC" w:rsidP="009B0325">
      <w:pPr>
        <w:pStyle w:val="ListParagraph"/>
        <w:numPr>
          <w:ilvl w:val="0"/>
          <w:numId w:val="37"/>
        </w:numPr>
        <w:jc w:val="both"/>
      </w:pPr>
      <w:r>
        <w:t xml:space="preserve">Listed Equity Incorporation (LEI) – the </w:t>
      </w:r>
      <w:r w:rsidR="00250656">
        <w:t xml:space="preserve">two </w:t>
      </w:r>
      <w:r>
        <w:t>active incorporation strategies (</w:t>
      </w:r>
      <w:r w:rsidR="00840AD8">
        <w:t>i</w:t>
      </w:r>
      <w:r>
        <w:t>ntegration</w:t>
      </w:r>
      <w:r w:rsidR="00250656">
        <w:t xml:space="preserve"> and</w:t>
      </w:r>
      <w:r>
        <w:t xml:space="preserve"> </w:t>
      </w:r>
      <w:r w:rsidR="00840AD8">
        <w:t>s</w:t>
      </w:r>
      <w:r>
        <w:t xml:space="preserve">creening) will be presented separately in the </w:t>
      </w:r>
      <w:r w:rsidR="0059286E">
        <w:t>A</w:t>
      </w:r>
      <w:r>
        <w:t xml:space="preserve">ssessment </w:t>
      </w:r>
      <w:r w:rsidR="00840AD8">
        <w:t>R</w:t>
      </w:r>
      <w:r>
        <w:t xml:space="preserve">eport and the overall LEI score will be based on the signatory’s ‘main’ strategy. The main strategy is calculated by looking at coverage of assets (please see the </w:t>
      </w:r>
      <w:r w:rsidRPr="006F1635">
        <w:t>LEI module</w:t>
      </w:r>
      <w:r>
        <w:t xml:space="preserve"> for more details)</w:t>
      </w:r>
      <w:r w:rsidR="00250656">
        <w:t>. Signatories who are 100% thematic and 100% passive will not be assessed</w:t>
      </w:r>
      <w:r>
        <w:t>;</w:t>
      </w:r>
    </w:p>
    <w:p w14:paraId="1A254EF4" w14:textId="77777777" w:rsidR="002E3678" w:rsidRDefault="00AB08EC" w:rsidP="002E3678">
      <w:pPr>
        <w:pStyle w:val="ListParagraph"/>
        <w:numPr>
          <w:ilvl w:val="0"/>
          <w:numId w:val="37"/>
        </w:numPr>
        <w:jc w:val="both"/>
      </w:pPr>
      <w:r>
        <w:t xml:space="preserve">Listed Equity Active Ownership (LEA) – the LEA module is comprised of the engagement and (proxy) voting sections. Both will count towards a signatory’s LEA score but will be presented separately in the </w:t>
      </w:r>
      <w:r w:rsidR="00CD4CDE">
        <w:t>summary</w:t>
      </w:r>
      <w:r>
        <w:t xml:space="preserve"> </w:t>
      </w:r>
      <w:r w:rsidR="00CD4CDE">
        <w:t>s</w:t>
      </w:r>
      <w:r>
        <w:t xml:space="preserve">corecard. </w:t>
      </w:r>
    </w:p>
    <w:p w14:paraId="7799496A" w14:textId="26D78A50" w:rsidR="00B14FEC" w:rsidRDefault="00AB08EC" w:rsidP="002E3678">
      <w:pPr>
        <w:pStyle w:val="ListParagraph"/>
        <w:numPr>
          <w:ilvl w:val="1"/>
          <w:numId w:val="37"/>
        </w:numPr>
        <w:jc w:val="both"/>
      </w:pPr>
      <w:r>
        <w:t xml:space="preserve">Engagement Score – organisations may be engaging internally, via collaborations and/or via service providers. The LEA score is not dependent on how they conduct their engagements and </w:t>
      </w:r>
      <w:r w:rsidR="009445EC">
        <w:t xml:space="preserve">the </w:t>
      </w:r>
      <w:r>
        <w:t xml:space="preserve">top score can be achieved regardless of who conducts the engagements. They will see each applicable score separately and their overall engagement score will be based on their primary form of engagement (calculated on the number of engagements – please see </w:t>
      </w:r>
      <w:r w:rsidRPr="006F1635">
        <w:t>LEA module</w:t>
      </w:r>
      <w:r>
        <w:t xml:space="preserve"> for more details).</w:t>
      </w:r>
    </w:p>
    <w:p w14:paraId="24529BD7" w14:textId="4EA2671C" w:rsidR="004D1CD5" w:rsidRPr="002E3678" w:rsidRDefault="004D1CD5" w:rsidP="002E3678">
      <w:pPr>
        <w:pStyle w:val="ListParagraph"/>
        <w:numPr>
          <w:ilvl w:val="1"/>
          <w:numId w:val="37"/>
        </w:numPr>
        <w:jc w:val="both"/>
      </w:pPr>
      <w:r>
        <w:br w:type="page"/>
      </w:r>
    </w:p>
    <w:p w14:paraId="10315F99" w14:textId="77777777" w:rsidR="0010750A" w:rsidRDefault="00CD4CDE" w:rsidP="00445E4B">
      <w:pPr>
        <w:pStyle w:val="Heading3"/>
      </w:pPr>
      <w:bookmarkStart w:id="10" w:name="_Toc532309330"/>
      <w:r>
        <w:lastRenderedPageBreak/>
        <w:t>Summary</w:t>
      </w:r>
      <w:r w:rsidR="0010750A">
        <w:t xml:space="preserve"> </w:t>
      </w:r>
      <w:r w:rsidR="009453EF">
        <w:t>S</w:t>
      </w:r>
      <w:r w:rsidR="0010750A">
        <w:t>corecard</w:t>
      </w:r>
      <w:bookmarkEnd w:id="10"/>
    </w:p>
    <w:p w14:paraId="03DE6455" w14:textId="5F2DC113" w:rsidR="002C01D2" w:rsidRDefault="00FD50A6" w:rsidP="0067291C">
      <w:pPr>
        <w:jc w:val="both"/>
      </w:pPr>
      <w:r>
        <w:t>The</w:t>
      </w:r>
      <w:r w:rsidR="0010750A">
        <w:t xml:space="preserve"> </w:t>
      </w:r>
      <w:r w:rsidR="0080160D">
        <w:t>S</w:t>
      </w:r>
      <w:r w:rsidR="00CD4CDE">
        <w:t>ummary</w:t>
      </w:r>
      <w:r w:rsidR="0010750A">
        <w:t xml:space="preserve"> </w:t>
      </w:r>
      <w:r w:rsidR="0080160D">
        <w:t>Sc</w:t>
      </w:r>
      <w:r w:rsidR="0010750A">
        <w:t>orecard will present an overview of the performance bands achieved for each module completed by a signatory. These will be specific to each signatory and allow them to see, at</w:t>
      </w:r>
      <w:r w:rsidR="00CC5786">
        <w:t xml:space="preserve"> </w:t>
      </w:r>
      <w:r w:rsidR="0010750A">
        <w:t>a</w:t>
      </w:r>
      <w:r w:rsidR="00CC5786">
        <w:t xml:space="preserve"> </w:t>
      </w:r>
      <w:r w:rsidR="0010750A">
        <w:t>glance</w:t>
      </w:r>
      <w:r>
        <w:t>,</w:t>
      </w:r>
      <w:r w:rsidR="0010750A">
        <w:t xml:space="preserve"> their performance across asset classes</w:t>
      </w:r>
      <w:r w:rsidR="00E12EB4">
        <w:t xml:space="preserve"> compared to the median results of their peers</w:t>
      </w:r>
      <w:r w:rsidR="0010750A">
        <w:t>.</w:t>
      </w:r>
      <w:r w:rsidR="0067291C" w:rsidDel="0067291C">
        <w:t xml:space="preserve"> </w:t>
      </w:r>
    </w:p>
    <w:p w14:paraId="1D894AE7" w14:textId="68DD2B3C" w:rsidR="002C01D2" w:rsidRDefault="002C01D2" w:rsidP="009B0325">
      <w:pPr>
        <w:jc w:val="both"/>
      </w:pPr>
      <w:r>
        <w:rPr>
          <w:noProof/>
        </w:rPr>
        <w:drawing>
          <wp:inline distT="0" distB="0" distL="0" distR="0" wp14:anchorId="5C46B9BB" wp14:editId="1E353C3F">
            <wp:extent cx="5422900" cy="4786630"/>
            <wp:effectExtent l="19050" t="19050" r="25400" b="139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27911" cy="4791053"/>
                    </a:xfrm>
                    <a:prstGeom prst="rect">
                      <a:avLst/>
                    </a:prstGeom>
                    <a:ln>
                      <a:solidFill>
                        <a:schemeClr val="bg1">
                          <a:lumMod val="50000"/>
                        </a:schemeClr>
                      </a:solidFill>
                    </a:ln>
                  </pic:spPr>
                </pic:pic>
              </a:graphicData>
            </a:graphic>
          </wp:inline>
        </w:drawing>
      </w:r>
    </w:p>
    <w:p w14:paraId="6DAE9D18" w14:textId="77777777" w:rsidR="0010750A" w:rsidRDefault="0010750A" w:rsidP="009B0325">
      <w:pPr>
        <w:pStyle w:val="Heading2"/>
        <w:jc w:val="both"/>
      </w:pPr>
      <w:bookmarkStart w:id="11" w:name="_Toc532309331"/>
      <w:r>
        <w:t>Module Peer</w:t>
      </w:r>
      <w:r w:rsidR="009453EF">
        <w:t xml:space="preserve"> Comparison</w:t>
      </w:r>
      <w:bookmarkEnd w:id="11"/>
    </w:p>
    <w:p w14:paraId="5ECDA6A4" w14:textId="77777777" w:rsidR="00313BED" w:rsidRDefault="00313BED" w:rsidP="009B0325">
      <w:pPr>
        <w:jc w:val="both"/>
      </w:pPr>
      <w:r>
        <w:t>Two types of peering will take place at the end of each reporting period once submissions from all signatories have been received</w:t>
      </w:r>
      <w:r w:rsidR="00896D66">
        <w:t>:</w:t>
      </w:r>
      <w:r>
        <w:t xml:space="preserve"> </w:t>
      </w:r>
    </w:p>
    <w:p w14:paraId="127EC469" w14:textId="77777777" w:rsidR="00313BED" w:rsidRDefault="00313BED" w:rsidP="009B0325">
      <w:pPr>
        <w:pStyle w:val="ListParagraph"/>
        <w:numPr>
          <w:ilvl w:val="0"/>
          <w:numId w:val="38"/>
        </w:numPr>
        <w:jc w:val="both"/>
      </w:pPr>
      <w:r w:rsidRPr="003C6ABA">
        <w:rPr>
          <w:b/>
        </w:rPr>
        <w:t>Indicator level</w:t>
      </w:r>
      <w:r>
        <w:t xml:space="preserve">: Signatory scores for each indicator will be peered against all other signatories </w:t>
      </w:r>
      <w:r w:rsidR="00E12EB4">
        <w:t xml:space="preserve">for </w:t>
      </w:r>
      <w:r w:rsidR="00FA3A72">
        <w:t>whom</w:t>
      </w:r>
      <w:r w:rsidR="00E12EB4">
        <w:t xml:space="preserve"> that indicator was relevant</w:t>
      </w:r>
      <w:r>
        <w:t>, regardless of their type, size or location.</w:t>
      </w:r>
    </w:p>
    <w:p w14:paraId="2441BA07" w14:textId="48E606DD" w:rsidR="00313BED" w:rsidRDefault="00313BED" w:rsidP="00BD5757">
      <w:pPr>
        <w:pStyle w:val="ListParagraph"/>
        <w:numPr>
          <w:ilvl w:val="0"/>
          <w:numId w:val="38"/>
        </w:numPr>
        <w:spacing w:after="120"/>
        <w:jc w:val="both"/>
      </w:pPr>
      <w:r w:rsidRPr="003C6ABA">
        <w:rPr>
          <w:b/>
        </w:rPr>
        <w:t>Module level</w:t>
      </w:r>
      <w:r>
        <w:t>: Signatory scores for each module will be displ</w:t>
      </w:r>
      <w:r w:rsidR="00990B3A">
        <w:t xml:space="preserve">ayed in </w:t>
      </w:r>
      <w:r w:rsidR="00560B62">
        <w:t>six</w:t>
      </w:r>
      <w:r w:rsidR="00990B3A">
        <w:t xml:space="preserve"> broad performance B</w:t>
      </w:r>
      <w:r w:rsidR="00D75E2B">
        <w:t>ands (E to A+</w:t>
      </w:r>
      <w:r>
        <w:t xml:space="preserve">) at an absolute level as well as relative to peers of a similar type, size or location. </w:t>
      </w:r>
    </w:p>
    <w:p w14:paraId="088A55C5" w14:textId="59743444" w:rsidR="00DE3AF0" w:rsidRPr="002677EC" w:rsidRDefault="0010750A" w:rsidP="009B0325">
      <w:pPr>
        <w:jc w:val="both"/>
        <w:rPr>
          <w:i/>
          <w:iCs/>
        </w:rPr>
      </w:pPr>
      <w:r>
        <w:t>Each signatory’s total aggregated module score will be comp</w:t>
      </w:r>
      <w:r w:rsidR="00A02ADC">
        <w:t xml:space="preserve">ared to relevant peer groups </w:t>
      </w:r>
      <w:r>
        <w:t xml:space="preserve">in a series of distribution charts. </w:t>
      </w:r>
      <w:r w:rsidR="00426A93" w:rsidRPr="00B9759F">
        <w:t>U</w:t>
      </w:r>
      <w:r w:rsidR="00426A93" w:rsidRPr="00B9759F">
        <w:rPr>
          <w:iCs/>
        </w:rPr>
        <w:t xml:space="preserve">nlike </w:t>
      </w:r>
      <w:r w:rsidR="00B9759F">
        <w:rPr>
          <w:iCs/>
        </w:rPr>
        <w:t>2014</w:t>
      </w:r>
      <w:r w:rsidR="001A5496">
        <w:rPr>
          <w:iCs/>
        </w:rPr>
        <w:t xml:space="preserve"> and </w:t>
      </w:r>
      <w:r w:rsidR="00B9759F">
        <w:rPr>
          <w:iCs/>
        </w:rPr>
        <w:t>from 2015 onwards</w:t>
      </w:r>
      <w:r w:rsidR="001A5496">
        <w:rPr>
          <w:iCs/>
        </w:rPr>
        <w:t>,</w:t>
      </w:r>
      <w:r w:rsidR="00426A93" w:rsidRPr="00B9759F">
        <w:rPr>
          <w:iCs/>
        </w:rPr>
        <w:t xml:space="preserve"> investment managers will only be peered with </w:t>
      </w:r>
      <w:r w:rsidR="00BC2900" w:rsidRPr="00B9759F">
        <w:rPr>
          <w:iCs/>
        </w:rPr>
        <w:t>other investment manager signatories while asset owners will continue to be peered with all signatories.</w:t>
      </w:r>
      <w:r w:rsidR="00BC2900">
        <w:rPr>
          <w:iCs/>
        </w:rPr>
        <w:t xml:space="preserve"> This has been done</w:t>
      </w:r>
      <w:r w:rsidR="00426A93" w:rsidRPr="00426A93">
        <w:rPr>
          <w:iCs/>
        </w:rPr>
        <w:t xml:space="preserve"> to provide </w:t>
      </w:r>
      <w:r w:rsidR="001A5496">
        <w:rPr>
          <w:iCs/>
        </w:rPr>
        <w:t xml:space="preserve">with </w:t>
      </w:r>
      <w:r w:rsidR="00426A93" w:rsidRPr="00426A93">
        <w:rPr>
          <w:iCs/>
        </w:rPr>
        <w:t xml:space="preserve">more </w:t>
      </w:r>
      <w:r w:rsidR="00BC2900">
        <w:rPr>
          <w:iCs/>
        </w:rPr>
        <w:t xml:space="preserve">relevant and </w:t>
      </w:r>
      <w:r w:rsidR="00426A93" w:rsidRPr="00426A93">
        <w:rPr>
          <w:iCs/>
        </w:rPr>
        <w:t xml:space="preserve">granular feedback and </w:t>
      </w:r>
      <w:r w:rsidR="00EF3E49">
        <w:rPr>
          <w:iCs/>
        </w:rPr>
        <w:t xml:space="preserve">to </w:t>
      </w:r>
      <w:r w:rsidR="00EF3E49">
        <w:rPr>
          <w:iCs/>
        </w:rPr>
        <w:lastRenderedPageBreak/>
        <w:t>improve</w:t>
      </w:r>
      <w:r w:rsidR="00EF3E49" w:rsidRPr="00426A93">
        <w:rPr>
          <w:iCs/>
        </w:rPr>
        <w:t xml:space="preserve"> </w:t>
      </w:r>
      <w:r w:rsidR="00426A93" w:rsidRPr="00426A93">
        <w:rPr>
          <w:iCs/>
        </w:rPr>
        <w:t xml:space="preserve">learning </w:t>
      </w:r>
      <w:r w:rsidR="00BC2900">
        <w:rPr>
          <w:iCs/>
        </w:rPr>
        <w:t xml:space="preserve">outcomes </w:t>
      </w:r>
      <w:r w:rsidR="00426A93" w:rsidRPr="00426A93">
        <w:rPr>
          <w:iCs/>
        </w:rPr>
        <w:t xml:space="preserve">for each type of signatory. </w:t>
      </w:r>
      <w:r w:rsidR="0074541C">
        <w:rPr>
          <w:iCs/>
        </w:rPr>
        <w:t>Example of a peering chart below:</w:t>
      </w:r>
    </w:p>
    <w:p w14:paraId="3E091506" w14:textId="34153348" w:rsidR="0010750A" w:rsidRDefault="00A35DF2" w:rsidP="0010750A">
      <w:r>
        <w:rPr>
          <w:noProof/>
          <w:lang w:eastAsia="en-GB"/>
        </w:rPr>
        <w:drawing>
          <wp:inline distT="0" distB="0" distL="0" distR="0" wp14:anchorId="7EA19E85" wp14:editId="3CB06813">
            <wp:extent cx="5504180" cy="331597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04180" cy="3315970"/>
                    </a:xfrm>
                    <a:prstGeom prst="rect">
                      <a:avLst/>
                    </a:prstGeom>
                  </pic:spPr>
                </pic:pic>
              </a:graphicData>
            </a:graphic>
          </wp:inline>
        </w:drawing>
      </w:r>
    </w:p>
    <w:p w14:paraId="65A4963C" w14:textId="0BAC240C" w:rsidR="00795759" w:rsidRDefault="00234EB8" w:rsidP="00B45E38">
      <w:pPr>
        <w:pStyle w:val="Heading2"/>
      </w:pPr>
      <w:bookmarkStart w:id="12" w:name="_Toc532309332"/>
      <w:r>
        <w:t>The Data Portal</w:t>
      </w:r>
      <w:bookmarkEnd w:id="12"/>
    </w:p>
    <w:p w14:paraId="02661DF3" w14:textId="50F17468" w:rsidR="00A24595" w:rsidRDefault="00234EB8" w:rsidP="00B14FEC">
      <w:pPr>
        <w:jc w:val="both"/>
      </w:pPr>
      <w:r w:rsidRPr="00B45E38">
        <w:t>A sign</w:t>
      </w:r>
      <w:r w:rsidR="00FA08C6">
        <w:t>i</w:t>
      </w:r>
      <w:r w:rsidR="00FA08C6" w:rsidRPr="00FA08C6">
        <w:t>fic</w:t>
      </w:r>
      <w:r w:rsidRPr="00B45E38">
        <w:t xml:space="preserve">ant development </w:t>
      </w:r>
      <w:r w:rsidR="00BD0676" w:rsidRPr="00B45E38">
        <w:t>in 2017</w:t>
      </w:r>
      <w:r w:rsidRPr="00B45E38">
        <w:t xml:space="preserve"> was the implementation of the Data Portal, an </w:t>
      </w:r>
      <w:r w:rsidR="008D1116">
        <w:t xml:space="preserve">interactive </w:t>
      </w:r>
      <w:r w:rsidRPr="00B45E38">
        <w:t>online database designed for our signatories</w:t>
      </w:r>
      <w:r w:rsidR="00357606">
        <w:t xml:space="preserve"> </w:t>
      </w:r>
      <w:r w:rsidRPr="00B45E38">
        <w:t>where they can</w:t>
      </w:r>
      <w:r w:rsidR="00A24595">
        <w:t>:</w:t>
      </w:r>
    </w:p>
    <w:p w14:paraId="5C9A13EE" w14:textId="52875F58" w:rsidR="00A24595" w:rsidRDefault="00A24595" w:rsidP="006F1635">
      <w:pPr>
        <w:pStyle w:val="ListParagraph"/>
        <w:numPr>
          <w:ilvl w:val="0"/>
          <w:numId w:val="46"/>
        </w:numPr>
        <w:jc w:val="both"/>
      </w:pPr>
      <w:r>
        <w:t>Access their own r</w:t>
      </w:r>
      <w:r w:rsidRPr="00B45E38">
        <w:t>eports (Transparency and Assessment</w:t>
      </w:r>
      <w:r w:rsidR="008D1116">
        <w:t xml:space="preserve"> Reports</w:t>
      </w:r>
      <w:r w:rsidRPr="00B45E38">
        <w:t>)</w:t>
      </w:r>
      <w:r>
        <w:t xml:space="preserve"> for the current reporting period and previous years;</w:t>
      </w:r>
    </w:p>
    <w:p w14:paraId="2400D1CA" w14:textId="0BBA6EF3" w:rsidR="00A24595" w:rsidRDefault="00A24595" w:rsidP="006F1635">
      <w:pPr>
        <w:pStyle w:val="ListParagraph"/>
        <w:numPr>
          <w:ilvl w:val="0"/>
          <w:numId w:val="46"/>
        </w:numPr>
        <w:jc w:val="both"/>
      </w:pPr>
      <w:r>
        <w:t xml:space="preserve">View other signatories public </w:t>
      </w:r>
      <w:r w:rsidR="008D1116">
        <w:t>T</w:t>
      </w:r>
      <w:r>
        <w:t xml:space="preserve">ransparency </w:t>
      </w:r>
      <w:r w:rsidR="008D1116">
        <w:t>R</w:t>
      </w:r>
      <w:r>
        <w:t>eports;</w:t>
      </w:r>
    </w:p>
    <w:p w14:paraId="3457F427" w14:textId="1DDA782B" w:rsidR="00A24595" w:rsidRDefault="00A24595" w:rsidP="006F1635">
      <w:pPr>
        <w:pStyle w:val="ListParagraph"/>
        <w:numPr>
          <w:ilvl w:val="0"/>
          <w:numId w:val="46"/>
        </w:numPr>
        <w:jc w:val="both"/>
      </w:pPr>
      <w:r>
        <w:t>Request access to private information (</w:t>
      </w:r>
      <w:r w:rsidRPr="00B45E38">
        <w:t>Transparency and Assessment)</w:t>
      </w:r>
      <w:r>
        <w:t xml:space="preserve">; </w:t>
      </w:r>
    </w:p>
    <w:p w14:paraId="6140C543" w14:textId="752769F4" w:rsidR="00A24595" w:rsidRDefault="00A24595" w:rsidP="006F1635">
      <w:pPr>
        <w:pStyle w:val="ListParagraph"/>
        <w:numPr>
          <w:ilvl w:val="0"/>
          <w:numId w:val="46"/>
        </w:numPr>
        <w:jc w:val="both"/>
      </w:pPr>
      <w:r>
        <w:t>Create bespoke peering data through the "My Peering" and "Peering Scores" functions.</w:t>
      </w:r>
    </w:p>
    <w:p w14:paraId="04189F12" w14:textId="77777777" w:rsidR="001B7768" w:rsidRDefault="001B7768" w:rsidP="006F1635">
      <w:pPr>
        <w:pStyle w:val="ListParagraph"/>
        <w:numPr>
          <w:ilvl w:val="0"/>
          <w:numId w:val="0"/>
        </w:numPr>
        <w:ind w:left="720"/>
        <w:jc w:val="both"/>
      </w:pPr>
    </w:p>
    <w:p w14:paraId="324BC538" w14:textId="20F9060C" w:rsidR="00D8112C" w:rsidRDefault="00D8112C" w:rsidP="00D8112C">
      <w:pPr>
        <w:jc w:val="both"/>
      </w:pPr>
      <w:r>
        <w:t xml:space="preserve">For full instructions on how to </w:t>
      </w:r>
      <w:r w:rsidR="004A4461">
        <w:t xml:space="preserve">register and </w:t>
      </w:r>
      <w:r>
        <w:t xml:space="preserve">use the </w:t>
      </w:r>
      <w:r w:rsidR="001D66F2">
        <w:t>D</w:t>
      </w:r>
      <w:r>
        <w:t xml:space="preserve">ata </w:t>
      </w:r>
      <w:r w:rsidR="001D66F2">
        <w:t>P</w:t>
      </w:r>
      <w:r>
        <w:t xml:space="preserve">ortal please see </w:t>
      </w:r>
      <w:hyperlink r:id="rId24" w:history="1">
        <w:r w:rsidRPr="006F1635">
          <w:rPr>
            <w:rStyle w:val="Hyperlink"/>
          </w:rPr>
          <w:t>here</w:t>
        </w:r>
      </w:hyperlink>
      <w:r>
        <w:t>.</w:t>
      </w:r>
    </w:p>
    <w:p w14:paraId="6B83AA27" w14:textId="77777777" w:rsidR="00D8112C" w:rsidRPr="00B45E38" w:rsidRDefault="00D8112C" w:rsidP="00D8112C">
      <w:pPr>
        <w:jc w:val="both"/>
      </w:pPr>
      <w:r w:rsidRPr="00B45E38">
        <w:t xml:space="preserve">The Data Portal is </w:t>
      </w:r>
      <w:r>
        <w:t>available</w:t>
      </w:r>
      <w:r w:rsidRPr="006F6F43">
        <w:t xml:space="preserve"> </w:t>
      </w:r>
      <w:r w:rsidRPr="00B45E38">
        <w:t xml:space="preserve">here: </w:t>
      </w:r>
      <w:hyperlink r:id="rId25" w:history="1">
        <w:r w:rsidRPr="006F1635">
          <w:rPr>
            <w:color w:val="00B0F0"/>
            <w:u w:val="single"/>
          </w:rPr>
          <w:t>https://dataportal.unpri.org</w:t>
        </w:r>
      </w:hyperlink>
    </w:p>
    <w:p w14:paraId="3EA36A35" w14:textId="38DD0A2D" w:rsidR="00C36B1B" w:rsidRDefault="00C36B1B" w:rsidP="00C36B1B">
      <w:pPr>
        <w:jc w:val="both"/>
        <w:rPr>
          <w:sz w:val="18"/>
          <w:szCs w:val="18"/>
        </w:rPr>
      </w:pPr>
      <w:bookmarkStart w:id="13" w:name="_Hlk500516285"/>
      <w:r>
        <w:t>G</w:t>
      </w:r>
      <w:r w:rsidRPr="002677EC">
        <w:t>uidance and links to further resources to support on-going learning and development</w:t>
      </w:r>
      <w:r>
        <w:t xml:space="preserve"> are provided in the "</w:t>
      </w:r>
      <w:r w:rsidR="00F66484">
        <w:t xml:space="preserve">PRI </w:t>
      </w:r>
      <w:r>
        <w:t>Reporting Framework Resources" document</w:t>
      </w:r>
      <w:r w:rsidR="000F01DA">
        <w:t xml:space="preserve"> available on the Data Portal</w:t>
      </w:r>
      <w:r w:rsidR="00F66484">
        <w:t xml:space="preserve"> (see ‘Explore Data’ section, ‘Documents’).</w:t>
      </w:r>
    </w:p>
    <w:bookmarkEnd w:id="13"/>
    <w:p w14:paraId="0DFB74C9" w14:textId="01A8E954" w:rsidR="0004189E" w:rsidRPr="006F1635" w:rsidRDefault="0004189E" w:rsidP="00B14FEC">
      <w:pPr>
        <w:jc w:val="both"/>
      </w:pPr>
    </w:p>
    <w:sectPr w:rsidR="0004189E" w:rsidRPr="006F1635" w:rsidSect="00644696">
      <w:footerReference w:type="default" r:id="rId26"/>
      <w:headerReference w:type="first" r:id="rId27"/>
      <w:footerReference w:type="first" r:id="rId28"/>
      <w:pgSz w:w="11900" w:h="16840"/>
      <w:pgMar w:top="1440" w:right="1616" w:bottom="1440" w:left="161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AEF63" w14:textId="77777777" w:rsidR="00450707" w:rsidRDefault="00450707" w:rsidP="00936049">
      <w:r>
        <w:separator/>
      </w:r>
    </w:p>
  </w:endnote>
  <w:endnote w:type="continuationSeparator" w:id="0">
    <w:p w14:paraId="24C64290" w14:textId="77777777" w:rsidR="00450707" w:rsidRDefault="00450707" w:rsidP="00936049">
      <w:r>
        <w:continuationSeparator/>
      </w:r>
    </w:p>
  </w:endnote>
  <w:endnote w:type="continuationNotice" w:id="1">
    <w:p w14:paraId="0F1E73EA" w14:textId="77777777" w:rsidR="00450707" w:rsidRDefault="004507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lright Sans Regular">
    <w:altName w:val="Arial"/>
    <w:panose1 w:val="00000000000000000000"/>
    <w:charset w:val="00"/>
    <w:family w:val="modern"/>
    <w:notTrueType/>
    <w:pitch w:val="variable"/>
    <w:sig w:usb0="0000008F" w:usb1="00000001" w:usb2="00000000" w:usb3="00000000" w:csb0="0000000B" w:csb1="00000000"/>
  </w:font>
  <w:font w:name="Alright Sans Regular Italic">
    <w:panose1 w:val="00000000000000000000"/>
    <w:charset w:val="00"/>
    <w:family w:val="modern"/>
    <w:notTrueType/>
    <w:pitch w:val="variable"/>
    <w:sig w:usb0="00000001" w:usb1="00000001" w:usb2="00000000" w:usb3="00000000" w:csb0="0000000B"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right Sans Light">
    <w:altName w:val="Arial"/>
    <w:panose1 w:val="00000000000000000000"/>
    <w:charset w:val="00"/>
    <w:family w:val="modern"/>
    <w:notTrueType/>
    <w:pitch w:val="variable"/>
    <w:sig w:usb0="0000008F" w:usb1="00000001"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8858" w14:textId="77777777" w:rsidR="00450707" w:rsidRPr="00BD5757" w:rsidRDefault="00450707" w:rsidP="00BD5757">
    <w:pPr>
      <w:pStyle w:val="Footer"/>
      <w:tabs>
        <w:tab w:val="clear" w:pos="4320"/>
        <w:tab w:val="clear" w:pos="8640"/>
        <w:tab w:val="left" w:pos="2905"/>
      </w:tabs>
      <w:spacing w:before="0" w:after="0"/>
      <w:rPr>
        <w:noProof/>
        <w:sz w:val="16"/>
        <w:lang w:eastAsia="en-GB"/>
      </w:rPr>
    </w:pPr>
  </w:p>
  <w:p w14:paraId="65E8539C" w14:textId="5E07E761" w:rsidR="00450707" w:rsidRPr="0098553C" w:rsidRDefault="00450707" w:rsidP="00BD5757">
    <w:pPr>
      <w:pStyle w:val="Footer"/>
      <w:framePr w:w="11854" w:wrap="around" w:vAnchor="text" w:hAnchor="page" w:x="1" w:y="1018"/>
      <w:jc w:val="center"/>
      <w:rPr>
        <w:rStyle w:val="PageNumber"/>
        <w:rFonts w:ascii="Alright Sans Light" w:hAnsi="Alright Sans Light"/>
        <w:color w:val="808080"/>
      </w:rPr>
    </w:pPr>
    <w:r w:rsidRPr="0098553C">
      <w:rPr>
        <w:rStyle w:val="PageNumber"/>
        <w:rFonts w:ascii="Alright Sans Light" w:hAnsi="Alright Sans Light"/>
        <w:color w:val="808080"/>
      </w:rPr>
      <w:fldChar w:fldCharType="begin"/>
    </w:r>
    <w:r w:rsidRPr="0098553C">
      <w:rPr>
        <w:rStyle w:val="PageNumber"/>
        <w:rFonts w:ascii="Alright Sans Light" w:hAnsi="Alright Sans Light"/>
        <w:color w:val="808080"/>
      </w:rPr>
      <w:instrText xml:space="preserve">PAGE  </w:instrText>
    </w:r>
    <w:r w:rsidRPr="0098553C">
      <w:rPr>
        <w:rStyle w:val="PageNumber"/>
        <w:rFonts w:ascii="Alright Sans Light" w:hAnsi="Alright Sans Light"/>
        <w:color w:val="808080"/>
      </w:rPr>
      <w:fldChar w:fldCharType="separate"/>
    </w:r>
    <w:r>
      <w:rPr>
        <w:rStyle w:val="PageNumber"/>
        <w:rFonts w:ascii="Alright Sans Light" w:hAnsi="Alright Sans Light"/>
        <w:noProof/>
        <w:color w:val="808080"/>
      </w:rPr>
      <w:t>10</w:t>
    </w:r>
    <w:r w:rsidRPr="0098553C">
      <w:rPr>
        <w:rStyle w:val="PageNumber"/>
        <w:rFonts w:ascii="Alright Sans Light" w:hAnsi="Alright Sans Light"/>
        <w:color w:val="808080"/>
      </w:rPr>
      <w:fldChar w:fldCharType="end"/>
    </w:r>
  </w:p>
  <w:p w14:paraId="1CDC837E" w14:textId="7A2788E7" w:rsidR="00450707" w:rsidRDefault="00450707" w:rsidP="00BD5757">
    <w:pPr>
      <w:pStyle w:val="Footer"/>
      <w:tabs>
        <w:tab w:val="clear" w:pos="4320"/>
        <w:tab w:val="clear" w:pos="8640"/>
        <w:tab w:val="left" w:pos="2905"/>
      </w:tabs>
      <w:spacing w:before="0" w:after="0"/>
    </w:pPr>
    <w:r w:rsidRPr="006071C2">
      <w:rPr>
        <w:noProof/>
        <w:lang w:eastAsia="en-GB"/>
      </w:rPr>
      <w:drawing>
        <wp:anchor distT="0" distB="0" distL="114300" distR="114300" simplePos="0" relativeHeight="251658241" behindDoc="1" locked="0" layoutInCell="1" allowOverlap="1" wp14:anchorId="6F8DE636" wp14:editId="78DECA2E">
          <wp:simplePos x="0" y="0"/>
          <wp:positionH relativeFrom="page">
            <wp:posOffset>4691269</wp:posOffset>
          </wp:positionH>
          <wp:positionV relativeFrom="page">
            <wp:posOffset>9565420</wp:posOffset>
          </wp:positionV>
          <wp:extent cx="2825473" cy="1184606"/>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
                    <a:extLst>
                      <a:ext uri="{28A0092B-C50C-407E-A947-70E740481C1C}">
                        <a14:useLocalDpi xmlns:a14="http://schemas.microsoft.com/office/drawing/2010/main" val="0"/>
                      </a:ext>
                    </a:extLst>
                  </a:blip>
                  <a:srcRect l="62609" t="-676" b="-1"/>
                  <a:stretch/>
                </pic:blipFill>
                <pic:spPr bwMode="auto">
                  <a:xfrm>
                    <a:off x="0" y="0"/>
                    <a:ext cx="2826782" cy="118515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4D97" w14:textId="77777777" w:rsidR="00450707" w:rsidRDefault="00450707" w:rsidP="00DF453C">
    <w:pPr>
      <w:pStyle w:val="Footer"/>
      <w:tabs>
        <w:tab w:val="clear" w:pos="4320"/>
        <w:tab w:val="clear" w:pos="8640"/>
        <w:tab w:val="left" w:pos="55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E9F49" w14:textId="77777777" w:rsidR="00450707" w:rsidRDefault="00450707" w:rsidP="00936049">
      <w:r>
        <w:separator/>
      </w:r>
    </w:p>
  </w:footnote>
  <w:footnote w:type="continuationSeparator" w:id="0">
    <w:p w14:paraId="13FBF008" w14:textId="77777777" w:rsidR="00450707" w:rsidRDefault="00450707" w:rsidP="00936049">
      <w:r>
        <w:continuationSeparator/>
      </w:r>
    </w:p>
  </w:footnote>
  <w:footnote w:type="continuationNotice" w:id="1">
    <w:p w14:paraId="4165329A" w14:textId="77777777" w:rsidR="00450707" w:rsidRDefault="0045070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D914" w14:textId="77777777" w:rsidR="00450707" w:rsidRDefault="00450707">
    <w:pPr>
      <w:pStyle w:val="Header"/>
    </w:pPr>
    <w:r>
      <w:rPr>
        <w:noProof/>
        <w:lang w:eastAsia="en-GB"/>
      </w:rPr>
      <w:drawing>
        <wp:anchor distT="0" distB="0" distL="114300" distR="114300" simplePos="0" relativeHeight="251658240" behindDoc="1" locked="0" layoutInCell="1" allowOverlap="1" wp14:anchorId="03F07837" wp14:editId="3B407719">
          <wp:simplePos x="0" y="0"/>
          <wp:positionH relativeFrom="page">
            <wp:posOffset>9432</wp:posOffset>
          </wp:positionH>
          <wp:positionV relativeFrom="page">
            <wp:posOffset>0</wp:posOffset>
          </wp:positionV>
          <wp:extent cx="7541446" cy="1360805"/>
          <wp:effectExtent l="0" t="0" r="2540" b="1079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446" cy="13608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881E84"/>
    <w:lvl w:ilvl="0">
      <w:start w:val="1"/>
      <w:numFmt w:val="decimal"/>
      <w:pStyle w:val="ListNumber5"/>
      <w:lvlText w:val="%1."/>
      <w:lvlJc w:val="left"/>
      <w:pPr>
        <w:tabs>
          <w:tab w:val="num" w:pos="340"/>
        </w:tabs>
        <w:ind w:left="340" w:hanging="340"/>
      </w:pPr>
      <w:rPr>
        <w:rFonts w:hint="default"/>
      </w:rPr>
    </w:lvl>
  </w:abstractNum>
  <w:abstractNum w:abstractNumId="1" w15:restartNumberingAfterBreak="0">
    <w:nsid w:val="FFFFFF7D"/>
    <w:multiLevelType w:val="singleLevel"/>
    <w:tmpl w:val="061A906C"/>
    <w:lvl w:ilvl="0">
      <w:start w:val="1"/>
      <w:numFmt w:val="decimal"/>
      <w:pStyle w:val="ListNumber4"/>
      <w:lvlText w:val="%1."/>
      <w:lvlJc w:val="left"/>
      <w:pPr>
        <w:tabs>
          <w:tab w:val="num" w:pos="340"/>
        </w:tabs>
        <w:ind w:left="340" w:hanging="340"/>
      </w:pPr>
      <w:rPr>
        <w:rFonts w:hint="default"/>
      </w:rPr>
    </w:lvl>
  </w:abstractNum>
  <w:abstractNum w:abstractNumId="2" w15:restartNumberingAfterBreak="0">
    <w:nsid w:val="FFFFFF7E"/>
    <w:multiLevelType w:val="singleLevel"/>
    <w:tmpl w:val="3DD6848A"/>
    <w:lvl w:ilvl="0">
      <w:start w:val="1"/>
      <w:numFmt w:val="decimal"/>
      <w:pStyle w:val="ListNumber3"/>
      <w:lvlText w:val="%1."/>
      <w:lvlJc w:val="left"/>
      <w:pPr>
        <w:tabs>
          <w:tab w:val="num" w:pos="340"/>
        </w:tabs>
        <w:ind w:left="340" w:hanging="340"/>
      </w:pPr>
      <w:rPr>
        <w:rFonts w:hint="default"/>
      </w:rPr>
    </w:lvl>
  </w:abstractNum>
  <w:abstractNum w:abstractNumId="3" w15:restartNumberingAfterBreak="0">
    <w:nsid w:val="FFFFFF7F"/>
    <w:multiLevelType w:val="singleLevel"/>
    <w:tmpl w:val="61C8C650"/>
    <w:lvl w:ilvl="0">
      <w:start w:val="1"/>
      <w:numFmt w:val="decimal"/>
      <w:pStyle w:val="ListNumber2"/>
      <w:lvlText w:val="%1."/>
      <w:lvlJc w:val="left"/>
      <w:pPr>
        <w:tabs>
          <w:tab w:val="num" w:pos="340"/>
        </w:tabs>
        <w:ind w:left="340" w:hanging="340"/>
      </w:pPr>
      <w:rPr>
        <w:rFonts w:hint="default"/>
      </w:rPr>
    </w:lvl>
  </w:abstractNum>
  <w:abstractNum w:abstractNumId="4" w15:restartNumberingAfterBreak="0">
    <w:nsid w:val="FFFFFF88"/>
    <w:multiLevelType w:val="singleLevel"/>
    <w:tmpl w:val="4D564A24"/>
    <w:lvl w:ilvl="0">
      <w:start w:val="1"/>
      <w:numFmt w:val="decimal"/>
      <w:pStyle w:val="ListNumber"/>
      <w:lvlText w:val="%1."/>
      <w:lvlJc w:val="left"/>
      <w:pPr>
        <w:tabs>
          <w:tab w:val="num" w:pos="340"/>
        </w:tabs>
        <w:ind w:left="340" w:hanging="340"/>
      </w:pPr>
      <w:rPr>
        <w:rFonts w:hint="default"/>
      </w:rPr>
    </w:lvl>
  </w:abstractNum>
  <w:abstractNum w:abstractNumId="5" w15:restartNumberingAfterBreak="0">
    <w:nsid w:val="04E16B9E"/>
    <w:multiLevelType w:val="hybridMultilevel"/>
    <w:tmpl w:val="C85AA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95594A"/>
    <w:multiLevelType w:val="hybridMultilevel"/>
    <w:tmpl w:val="98F6A250"/>
    <w:lvl w:ilvl="0" w:tplc="A13C25D4">
      <w:numFmt w:val="bullet"/>
      <w:lvlText w:val="-"/>
      <w:lvlJc w:val="left"/>
      <w:pPr>
        <w:ind w:left="720" w:hanging="360"/>
      </w:pPr>
      <w:rPr>
        <w:rFonts w:ascii="Arial" w:eastAsia="MS P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4F57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5810FC"/>
    <w:multiLevelType w:val="multilevel"/>
    <w:tmpl w:val="62222CF2"/>
    <w:styleLink w:val="PRINumbering"/>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9" w15:restartNumberingAfterBreak="0">
    <w:nsid w:val="0C58496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0DE1342C"/>
    <w:multiLevelType w:val="hybridMultilevel"/>
    <w:tmpl w:val="7EA4F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B019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727C1D"/>
    <w:multiLevelType w:val="multilevel"/>
    <w:tmpl w:val="FB50C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C41809"/>
    <w:multiLevelType w:val="multilevel"/>
    <w:tmpl w:val="62222CF2"/>
    <w:numStyleLink w:val="PRINumbering"/>
  </w:abstractNum>
  <w:abstractNum w:abstractNumId="14" w15:restartNumberingAfterBreak="0">
    <w:nsid w:val="151F0643"/>
    <w:multiLevelType w:val="multilevel"/>
    <w:tmpl w:val="62222CF2"/>
    <w:numStyleLink w:val="PRINumbering"/>
  </w:abstractNum>
  <w:abstractNum w:abstractNumId="15" w15:restartNumberingAfterBreak="0">
    <w:nsid w:val="154F2038"/>
    <w:multiLevelType w:val="hybridMultilevel"/>
    <w:tmpl w:val="90E6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B97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1D0CEA"/>
    <w:multiLevelType w:val="multilevel"/>
    <w:tmpl w:val="9A0E9642"/>
    <w:lvl w:ilvl="0">
      <w:start w:val="1"/>
      <w:numFmt w:val="bullet"/>
      <w:pStyle w:val="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2525408B"/>
    <w:multiLevelType w:val="hybridMultilevel"/>
    <w:tmpl w:val="B25E6018"/>
    <w:lvl w:ilvl="0" w:tplc="DF02D6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941F99"/>
    <w:multiLevelType w:val="hybridMultilevel"/>
    <w:tmpl w:val="3B022148"/>
    <w:lvl w:ilvl="0" w:tplc="92928574">
      <w:numFmt w:val="bullet"/>
      <w:lvlText w:val="-"/>
      <w:lvlJc w:val="left"/>
      <w:pPr>
        <w:ind w:left="720" w:hanging="360"/>
      </w:pPr>
      <w:rPr>
        <w:rFonts w:ascii="Arial" w:eastAsia="MS P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CF2E68"/>
    <w:multiLevelType w:val="hybridMultilevel"/>
    <w:tmpl w:val="2500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285A08"/>
    <w:multiLevelType w:val="multilevel"/>
    <w:tmpl w:val="0BE223E2"/>
    <w:lvl w:ilvl="0">
      <w:start w:val="1"/>
      <w:numFmt w:val="decimal"/>
      <w:lvlText w:val="%1."/>
      <w:lvlJc w:val="left"/>
      <w:pPr>
        <w:ind w:left="360" w:hanging="360"/>
      </w:pPr>
      <w:rPr>
        <w:rFonts w:ascii="Arial" w:hAnsi="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7F865A3"/>
    <w:multiLevelType w:val="hybridMultilevel"/>
    <w:tmpl w:val="A490D584"/>
    <w:lvl w:ilvl="0" w:tplc="93721818">
      <w:numFmt w:val="bullet"/>
      <w:lvlText w:val="-"/>
      <w:lvlJc w:val="left"/>
      <w:pPr>
        <w:ind w:left="720" w:hanging="360"/>
      </w:pPr>
      <w:rPr>
        <w:rFonts w:ascii="Arial" w:eastAsia="MS P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4321F9"/>
    <w:multiLevelType w:val="hybridMultilevel"/>
    <w:tmpl w:val="0BE223E2"/>
    <w:lvl w:ilvl="0" w:tplc="849E3F4A">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88D3441"/>
    <w:multiLevelType w:val="multilevel"/>
    <w:tmpl w:val="62222CF2"/>
    <w:numStyleLink w:val="PRINumbering"/>
  </w:abstractNum>
  <w:abstractNum w:abstractNumId="25" w15:restartNumberingAfterBreak="0">
    <w:nsid w:val="38B839D0"/>
    <w:multiLevelType w:val="multilevel"/>
    <w:tmpl w:val="62222CF2"/>
    <w:numStyleLink w:val="PRINumbering"/>
  </w:abstractNum>
  <w:abstractNum w:abstractNumId="26" w15:restartNumberingAfterBreak="0">
    <w:nsid w:val="3ACE33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344B5F"/>
    <w:multiLevelType w:val="hybridMultilevel"/>
    <w:tmpl w:val="9A6219E2"/>
    <w:lvl w:ilvl="0" w:tplc="145ED1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3847EC"/>
    <w:multiLevelType w:val="hybridMultilevel"/>
    <w:tmpl w:val="074C5E6C"/>
    <w:lvl w:ilvl="0" w:tplc="BEF09560">
      <w:numFmt w:val="bullet"/>
      <w:lvlText w:val="-"/>
      <w:lvlJc w:val="left"/>
      <w:pPr>
        <w:ind w:left="720" w:hanging="360"/>
      </w:pPr>
      <w:rPr>
        <w:rFonts w:ascii="Arial" w:eastAsia="MS P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685F2F"/>
    <w:multiLevelType w:val="multilevel"/>
    <w:tmpl w:val="62222CF2"/>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30" w15:restartNumberingAfterBreak="0">
    <w:nsid w:val="42B55297"/>
    <w:multiLevelType w:val="hybridMultilevel"/>
    <w:tmpl w:val="7138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F47E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A1D0F13"/>
    <w:multiLevelType w:val="hybridMultilevel"/>
    <w:tmpl w:val="E8B86A0E"/>
    <w:lvl w:ilvl="0" w:tplc="DF02D624">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29592E"/>
    <w:multiLevelType w:val="multilevel"/>
    <w:tmpl w:val="62222CF2"/>
    <w:numStyleLink w:val="PRINumbering"/>
  </w:abstractNum>
  <w:abstractNum w:abstractNumId="34" w15:restartNumberingAfterBreak="0">
    <w:nsid w:val="4A2D6A4C"/>
    <w:multiLevelType w:val="multilevel"/>
    <w:tmpl w:val="62222CF2"/>
    <w:numStyleLink w:val="PRINumbering"/>
  </w:abstractNum>
  <w:abstractNum w:abstractNumId="35" w15:restartNumberingAfterBreak="0">
    <w:nsid w:val="4A487EF6"/>
    <w:multiLevelType w:val="multilevel"/>
    <w:tmpl w:val="62222CF2"/>
    <w:numStyleLink w:val="PRINumbering"/>
  </w:abstractNum>
  <w:abstractNum w:abstractNumId="36" w15:restartNumberingAfterBreak="0">
    <w:nsid w:val="4FAE02A2"/>
    <w:multiLevelType w:val="multilevel"/>
    <w:tmpl w:val="62222CF2"/>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37" w15:restartNumberingAfterBreak="0">
    <w:nsid w:val="53CB4CF1"/>
    <w:multiLevelType w:val="multilevel"/>
    <w:tmpl w:val="62222CF2"/>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38" w15:restartNumberingAfterBreak="0">
    <w:nsid w:val="58213145"/>
    <w:multiLevelType w:val="multilevel"/>
    <w:tmpl w:val="62222CF2"/>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39" w15:restartNumberingAfterBreak="0">
    <w:nsid w:val="59F02483"/>
    <w:multiLevelType w:val="multilevel"/>
    <w:tmpl w:val="62222CF2"/>
    <w:numStyleLink w:val="PRINumbering"/>
  </w:abstractNum>
  <w:abstractNum w:abstractNumId="40" w15:restartNumberingAfterBreak="0">
    <w:nsid w:val="60990FD5"/>
    <w:multiLevelType w:val="hybridMultilevel"/>
    <w:tmpl w:val="FE140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6D3E92"/>
    <w:multiLevelType w:val="hybridMultilevel"/>
    <w:tmpl w:val="FFCA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7077B0"/>
    <w:multiLevelType w:val="hybridMultilevel"/>
    <w:tmpl w:val="99AE2584"/>
    <w:lvl w:ilvl="0" w:tplc="C214FB6A">
      <w:numFmt w:val="bullet"/>
      <w:lvlText w:val="-"/>
      <w:lvlJc w:val="left"/>
      <w:pPr>
        <w:ind w:left="720" w:hanging="360"/>
      </w:pPr>
      <w:rPr>
        <w:rFonts w:ascii="Arial" w:eastAsia="MS P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4022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13719D7"/>
    <w:multiLevelType w:val="hybridMultilevel"/>
    <w:tmpl w:val="FB50C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1548A3"/>
    <w:multiLevelType w:val="multilevel"/>
    <w:tmpl w:val="62222CF2"/>
    <w:numStyleLink w:val="PRINumbering"/>
  </w:abstractNum>
  <w:num w:numId="1">
    <w:abstractNumId w:val="17"/>
  </w:num>
  <w:num w:numId="2">
    <w:abstractNumId w:val="4"/>
  </w:num>
  <w:num w:numId="3">
    <w:abstractNumId w:val="3"/>
  </w:num>
  <w:num w:numId="4">
    <w:abstractNumId w:val="2"/>
  </w:num>
  <w:num w:numId="5">
    <w:abstractNumId w:val="1"/>
  </w:num>
  <w:num w:numId="6">
    <w:abstractNumId w:val="0"/>
  </w:num>
  <w:num w:numId="7">
    <w:abstractNumId w:val="8"/>
  </w:num>
  <w:num w:numId="8">
    <w:abstractNumId w:val="23"/>
  </w:num>
  <w:num w:numId="9">
    <w:abstractNumId w:val="21"/>
  </w:num>
  <w:num w:numId="10">
    <w:abstractNumId w:val="9"/>
  </w:num>
  <w:num w:numId="11">
    <w:abstractNumId w:val="16"/>
  </w:num>
  <w:num w:numId="12">
    <w:abstractNumId w:val="11"/>
  </w:num>
  <w:num w:numId="13">
    <w:abstractNumId w:val="25"/>
  </w:num>
  <w:num w:numId="14">
    <w:abstractNumId w:val="39"/>
  </w:num>
  <w:num w:numId="15">
    <w:abstractNumId w:val="35"/>
  </w:num>
  <w:num w:numId="16">
    <w:abstractNumId w:val="44"/>
  </w:num>
  <w:num w:numId="17">
    <w:abstractNumId w:val="12"/>
  </w:num>
  <w:num w:numId="18">
    <w:abstractNumId w:val="34"/>
  </w:num>
  <w:num w:numId="19">
    <w:abstractNumId w:val="13"/>
  </w:num>
  <w:num w:numId="20">
    <w:abstractNumId w:val="24"/>
  </w:num>
  <w:num w:numId="21">
    <w:abstractNumId w:val="33"/>
  </w:num>
  <w:num w:numId="22">
    <w:abstractNumId w:val="14"/>
  </w:num>
  <w:num w:numId="23">
    <w:abstractNumId w:val="7"/>
  </w:num>
  <w:num w:numId="24">
    <w:abstractNumId w:val="43"/>
  </w:num>
  <w:num w:numId="25">
    <w:abstractNumId w:val="31"/>
  </w:num>
  <w:num w:numId="26">
    <w:abstractNumId w:val="26"/>
  </w:num>
  <w:num w:numId="27">
    <w:abstractNumId w:val="45"/>
  </w:num>
  <w:num w:numId="28">
    <w:abstractNumId w:val="38"/>
  </w:num>
  <w:num w:numId="29">
    <w:abstractNumId w:val="37"/>
  </w:num>
  <w:num w:numId="30">
    <w:abstractNumId w:val="36"/>
  </w:num>
  <w:num w:numId="31">
    <w:abstractNumId w:val="29"/>
  </w:num>
  <w:num w:numId="32">
    <w:abstractNumId w:val="32"/>
  </w:num>
  <w:num w:numId="33">
    <w:abstractNumId w:val="18"/>
  </w:num>
  <w:num w:numId="34">
    <w:abstractNumId w:val="40"/>
  </w:num>
  <w:num w:numId="35">
    <w:abstractNumId w:val="10"/>
  </w:num>
  <w:num w:numId="36">
    <w:abstractNumId w:val="15"/>
  </w:num>
  <w:num w:numId="37">
    <w:abstractNumId w:val="5"/>
  </w:num>
  <w:num w:numId="38">
    <w:abstractNumId w:val="30"/>
  </w:num>
  <w:num w:numId="39">
    <w:abstractNumId w:val="42"/>
  </w:num>
  <w:num w:numId="40">
    <w:abstractNumId w:val="20"/>
  </w:num>
  <w:num w:numId="41">
    <w:abstractNumId w:val="27"/>
  </w:num>
  <w:num w:numId="42">
    <w:abstractNumId w:val="22"/>
  </w:num>
  <w:num w:numId="43">
    <w:abstractNumId w:val="19"/>
  </w:num>
  <w:num w:numId="44">
    <w:abstractNumId w:val="6"/>
  </w:num>
  <w:num w:numId="45">
    <w:abstractNumId w:val="28"/>
  </w:num>
  <w:num w:numId="46">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C99"/>
    <w:rsid w:val="00003674"/>
    <w:rsid w:val="00012818"/>
    <w:rsid w:val="00015DA1"/>
    <w:rsid w:val="0001625D"/>
    <w:rsid w:val="0001652E"/>
    <w:rsid w:val="00021244"/>
    <w:rsid w:val="0004189E"/>
    <w:rsid w:val="00051325"/>
    <w:rsid w:val="000517C9"/>
    <w:rsid w:val="000650F6"/>
    <w:rsid w:val="00065204"/>
    <w:rsid w:val="0007135D"/>
    <w:rsid w:val="000727A0"/>
    <w:rsid w:val="00075A08"/>
    <w:rsid w:val="000806DF"/>
    <w:rsid w:val="00087BDF"/>
    <w:rsid w:val="000900CD"/>
    <w:rsid w:val="00091C48"/>
    <w:rsid w:val="000928CB"/>
    <w:rsid w:val="0009574D"/>
    <w:rsid w:val="00096D8E"/>
    <w:rsid w:val="000A3CED"/>
    <w:rsid w:val="000B1EE0"/>
    <w:rsid w:val="000B2525"/>
    <w:rsid w:val="000B76CC"/>
    <w:rsid w:val="000C1CF6"/>
    <w:rsid w:val="000C268B"/>
    <w:rsid w:val="000C35A0"/>
    <w:rsid w:val="000E4B0F"/>
    <w:rsid w:val="000F01DA"/>
    <w:rsid w:val="000F2160"/>
    <w:rsid w:val="000F5189"/>
    <w:rsid w:val="00102196"/>
    <w:rsid w:val="0010750A"/>
    <w:rsid w:val="00116DEB"/>
    <w:rsid w:val="001257AD"/>
    <w:rsid w:val="00125843"/>
    <w:rsid w:val="0013098E"/>
    <w:rsid w:val="0013186A"/>
    <w:rsid w:val="001334D0"/>
    <w:rsid w:val="00136D3C"/>
    <w:rsid w:val="00141367"/>
    <w:rsid w:val="00146F36"/>
    <w:rsid w:val="00151A8D"/>
    <w:rsid w:val="00151F9C"/>
    <w:rsid w:val="00153870"/>
    <w:rsid w:val="0016421B"/>
    <w:rsid w:val="001654AE"/>
    <w:rsid w:val="00167BCD"/>
    <w:rsid w:val="001705BC"/>
    <w:rsid w:val="0017097A"/>
    <w:rsid w:val="00172A7E"/>
    <w:rsid w:val="0018429F"/>
    <w:rsid w:val="001876FC"/>
    <w:rsid w:val="00190BE9"/>
    <w:rsid w:val="00191653"/>
    <w:rsid w:val="001917D3"/>
    <w:rsid w:val="001919D7"/>
    <w:rsid w:val="001A1AEE"/>
    <w:rsid w:val="001A36E0"/>
    <w:rsid w:val="001A3952"/>
    <w:rsid w:val="001A5496"/>
    <w:rsid w:val="001B0F4A"/>
    <w:rsid w:val="001B41A5"/>
    <w:rsid w:val="001B603A"/>
    <w:rsid w:val="001B7019"/>
    <w:rsid w:val="001B70E3"/>
    <w:rsid w:val="001B7768"/>
    <w:rsid w:val="001C0780"/>
    <w:rsid w:val="001C0C86"/>
    <w:rsid w:val="001C1A4D"/>
    <w:rsid w:val="001C4B41"/>
    <w:rsid w:val="001C50D0"/>
    <w:rsid w:val="001C6363"/>
    <w:rsid w:val="001D2C3C"/>
    <w:rsid w:val="001D66F2"/>
    <w:rsid w:val="001E1802"/>
    <w:rsid w:val="001E7C4F"/>
    <w:rsid w:val="001F2A22"/>
    <w:rsid w:val="001F414E"/>
    <w:rsid w:val="001F4A90"/>
    <w:rsid w:val="001F65F2"/>
    <w:rsid w:val="001F7A37"/>
    <w:rsid w:val="002014D4"/>
    <w:rsid w:val="00203268"/>
    <w:rsid w:val="00213767"/>
    <w:rsid w:val="0021402A"/>
    <w:rsid w:val="00217504"/>
    <w:rsid w:val="002227A0"/>
    <w:rsid w:val="00224082"/>
    <w:rsid w:val="002262EF"/>
    <w:rsid w:val="002335F4"/>
    <w:rsid w:val="00234EB8"/>
    <w:rsid w:val="002414FB"/>
    <w:rsid w:val="00247AAA"/>
    <w:rsid w:val="00250656"/>
    <w:rsid w:val="00257A56"/>
    <w:rsid w:val="002642D0"/>
    <w:rsid w:val="00264F14"/>
    <w:rsid w:val="002677EC"/>
    <w:rsid w:val="002734C7"/>
    <w:rsid w:val="00277A1C"/>
    <w:rsid w:val="00280C82"/>
    <w:rsid w:val="00283CEE"/>
    <w:rsid w:val="002879B6"/>
    <w:rsid w:val="00291105"/>
    <w:rsid w:val="00293129"/>
    <w:rsid w:val="00294A7C"/>
    <w:rsid w:val="002975B6"/>
    <w:rsid w:val="002A55C2"/>
    <w:rsid w:val="002A7EED"/>
    <w:rsid w:val="002B0EAD"/>
    <w:rsid w:val="002B2C82"/>
    <w:rsid w:val="002B437D"/>
    <w:rsid w:val="002C01D2"/>
    <w:rsid w:val="002C4CE0"/>
    <w:rsid w:val="002C6C5E"/>
    <w:rsid w:val="002D0A03"/>
    <w:rsid w:val="002D2A85"/>
    <w:rsid w:val="002D2EFB"/>
    <w:rsid w:val="002D3D53"/>
    <w:rsid w:val="002E14CC"/>
    <w:rsid w:val="002E2B11"/>
    <w:rsid w:val="002E3678"/>
    <w:rsid w:val="002E4E79"/>
    <w:rsid w:val="002E6619"/>
    <w:rsid w:val="003004DE"/>
    <w:rsid w:val="00300D0B"/>
    <w:rsid w:val="00304A6F"/>
    <w:rsid w:val="00307911"/>
    <w:rsid w:val="00307DA1"/>
    <w:rsid w:val="0031060F"/>
    <w:rsid w:val="0031249B"/>
    <w:rsid w:val="0031250E"/>
    <w:rsid w:val="00312AC6"/>
    <w:rsid w:val="00312FF9"/>
    <w:rsid w:val="00313BED"/>
    <w:rsid w:val="0031452A"/>
    <w:rsid w:val="003179B4"/>
    <w:rsid w:val="0032319F"/>
    <w:rsid w:val="00327210"/>
    <w:rsid w:val="00327660"/>
    <w:rsid w:val="00334FD0"/>
    <w:rsid w:val="0033550C"/>
    <w:rsid w:val="00343F9D"/>
    <w:rsid w:val="00346BA2"/>
    <w:rsid w:val="003513E0"/>
    <w:rsid w:val="00357606"/>
    <w:rsid w:val="00357DA8"/>
    <w:rsid w:val="00361684"/>
    <w:rsid w:val="00362A7D"/>
    <w:rsid w:val="00364CF0"/>
    <w:rsid w:val="00365ECE"/>
    <w:rsid w:val="003712FF"/>
    <w:rsid w:val="003713FF"/>
    <w:rsid w:val="00372CA1"/>
    <w:rsid w:val="00374257"/>
    <w:rsid w:val="00375EC9"/>
    <w:rsid w:val="00376D22"/>
    <w:rsid w:val="00381234"/>
    <w:rsid w:val="003812A7"/>
    <w:rsid w:val="0038376B"/>
    <w:rsid w:val="0038578B"/>
    <w:rsid w:val="0039115D"/>
    <w:rsid w:val="0039671F"/>
    <w:rsid w:val="00397344"/>
    <w:rsid w:val="003A4263"/>
    <w:rsid w:val="003A6013"/>
    <w:rsid w:val="003B5619"/>
    <w:rsid w:val="003B5AF7"/>
    <w:rsid w:val="003B5C38"/>
    <w:rsid w:val="003B62CE"/>
    <w:rsid w:val="003C2628"/>
    <w:rsid w:val="003C4FDA"/>
    <w:rsid w:val="003C6ABA"/>
    <w:rsid w:val="003D2369"/>
    <w:rsid w:val="003D4905"/>
    <w:rsid w:val="003E0994"/>
    <w:rsid w:val="003E5C2F"/>
    <w:rsid w:val="003E66E1"/>
    <w:rsid w:val="003E6AC4"/>
    <w:rsid w:val="003F3F4F"/>
    <w:rsid w:val="00400F50"/>
    <w:rsid w:val="00402C8D"/>
    <w:rsid w:val="0040477F"/>
    <w:rsid w:val="00404BE5"/>
    <w:rsid w:val="00406B6F"/>
    <w:rsid w:val="00410AC3"/>
    <w:rsid w:val="00411097"/>
    <w:rsid w:val="00411BA7"/>
    <w:rsid w:val="00412E8A"/>
    <w:rsid w:val="00422191"/>
    <w:rsid w:val="00424902"/>
    <w:rsid w:val="00425231"/>
    <w:rsid w:val="00426A93"/>
    <w:rsid w:val="00431214"/>
    <w:rsid w:val="004364AE"/>
    <w:rsid w:val="004372B6"/>
    <w:rsid w:val="00443937"/>
    <w:rsid w:val="00445E4B"/>
    <w:rsid w:val="00450707"/>
    <w:rsid w:val="0045236D"/>
    <w:rsid w:val="0045739C"/>
    <w:rsid w:val="00457ABD"/>
    <w:rsid w:val="004602E0"/>
    <w:rsid w:val="00463283"/>
    <w:rsid w:val="0046413E"/>
    <w:rsid w:val="00464DC0"/>
    <w:rsid w:val="00465219"/>
    <w:rsid w:val="00470987"/>
    <w:rsid w:val="00471CBB"/>
    <w:rsid w:val="004753F6"/>
    <w:rsid w:val="00487BC4"/>
    <w:rsid w:val="004923DB"/>
    <w:rsid w:val="00495DD4"/>
    <w:rsid w:val="004A2D67"/>
    <w:rsid w:val="004A4461"/>
    <w:rsid w:val="004A47D7"/>
    <w:rsid w:val="004B0994"/>
    <w:rsid w:val="004B2CF2"/>
    <w:rsid w:val="004B406A"/>
    <w:rsid w:val="004B4946"/>
    <w:rsid w:val="004B5608"/>
    <w:rsid w:val="004C43E2"/>
    <w:rsid w:val="004C5458"/>
    <w:rsid w:val="004C6BD2"/>
    <w:rsid w:val="004D154E"/>
    <w:rsid w:val="004D1CD5"/>
    <w:rsid w:val="004D21ED"/>
    <w:rsid w:val="004D76A7"/>
    <w:rsid w:val="004E2385"/>
    <w:rsid w:val="004E3256"/>
    <w:rsid w:val="004F7606"/>
    <w:rsid w:val="004F7990"/>
    <w:rsid w:val="00504EDD"/>
    <w:rsid w:val="00505801"/>
    <w:rsid w:val="005112AC"/>
    <w:rsid w:val="00521CC4"/>
    <w:rsid w:val="00522FDC"/>
    <w:rsid w:val="0052720D"/>
    <w:rsid w:val="005274A7"/>
    <w:rsid w:val="00527883"/>
    <w:rsid w:val="0053182D"/>
    <w:rsid w:val="005340E1"/>
    <w:rsid w:val="00536E31"/>
    <w:rsid w:val="00540A27"/>
    <w:rsid w:val="00540EB1"/>
    <w:rsid w:val="00545484"/>
    <w:rsid w:val="005458EC"/>
    <w:rsid w:val="0054633A"/>
    <w:rsid w:val="00553FFE"/>
    <w:rsid w:val="00557E20"/>
    <w:rsid w:val="00560B62"/>
    <w:rsid w:val="00561256"/>
    <w:rsid w:val="005629EE"/>
    <w:rsid w:val="00564354"/>
    <w:rsid w:val="00566D90"/>
    <w:rsid w:val="00570F31"/>
    <w:rsid w:val="00571A89"/>
    <w:rsid w:val="00577E9C"/>
    <w:rsid w:val="005827D1"/>
    <w:rsid w:val="00584C48"/>
    <w:rsid w:val="0058699D"/>
    <w:rsid w:val="0059286E"/>
    <w:rsid w:val="00593A21"/>
    <w:rsid w:val="00595777"/>
    <w:rsid w:val="0059604D"/>
    <w:rsid w:val="005A13FB"/>
    <w:rsid w:val="005A3C89"/>
    <w:rsid w:val="005A6EC7"/>
    <w:rsid w:val="005B0F72"/>
    <w:rsid w:val="005B584F"/>
    <w:rsid w:val="005B698D"/>
    <w:rsid w:val="005B74DE"/>
    <w:rsid w:val="005B7513"/>
    <w:rsid w:val="005B7A27"/>
    <w:rsid w:val="005B7AEA"/>
    <w:rsid w:val="005C19D0"/>
    <w:rsid w:val="005D0A0A"/>
    <w:rsid w:val="005D0E26"/>
    <w:rsid w:val="005D32D9"/>
    <w:rsid w:val="005D3AE1"/>
    <w:rsid w:val="005D439A"/>
    <w:rsid w:val="005E4032"/>
    <w:rsid w:val="005E5B1B"/>
    <w:rsid w:val="005E5B77"/>
    <w:rsid w:val="005E6D3A"/>
    <w:rsid w:val="005F0BD4"/>
    <w:rsid w:val="005F2271"/>
    <w:rsid w:val="005F3043"/>
    <w:rsid w:val="005F30A1"/>
    <w:rsid w:val="005F33C6"/>
    <w:rsid w:val="005F5F59"/>
    <w:rsid w:val="00614CFF"/>
    <w:rsid w:val="00615C59"/>
    <w:rsid w:val="0062513C"/>
    <w:rsid w:val="006262AF"/>
    <w:rsid w:val="006308F4"/>
    <w:rsid w:val="0063565D"/>
    <w:rsid w:val="00642E38"/>
    <w:rsid w:val="00643F54"/>
    <w:rsid w:val="00644696"/>
    <w:rsid w:val="00646EF4"/>
    <w:rsid w:val="006500F6"/>
    <w:rsid w:val="00652786"/>
    <w:rsid w:val="00653869"/>
    <w:rsid w:val="006547CB"/>
    <w:rsid w:val="00656960"/>
    <w:rsid w:val="00661895"/>
    <w:rsid w:val="006653B4"/>
    <w:rsid w:val="0066596D"/>
    <w:rsid w:val="0067050D"/>
    <w:rsid w:val="0067291C"/>
    <w:rsid w:val="00674E51"/>
    <w:rsid w:val="006800AF"/>
    <w:rsid w:val="006818B5"/>
    <w:rsid w:val="006908BC"/>
    <w:rsid w:val="00691CCF"/>
    <w:rsid w:val="00692CFF"/>
    <w:rsid w:val="0069411D"/>
    <w:rsid w:val="0069437C"/>
    <w:rsid w:val="00695B1A"/>
    <w:rsid w:val="006A08BA"/>
    <w:rsid w:val="006A382D"/>
    <w:rsid w:val="006A6CD7"/>
    <w:rsid w:val="006C1B37"/>
    <w:rsid w:val="006C38B8"/>
    <w:rsid w:val="006C6148"/>
    <w:rsid w:val="006C6A17"/>
    <w:rsid w:val="006C7511"/>
    <w:rsid w:val="006D0439"/>
    <w:rsid w:val="006D131F"/>
    <w:rsid w:val="006E22F3"/>
    <w:rsid w:val="006F1635"/>
    <w:rsid w:val="006F3BB9"/>
    <w:rsid w:val="006F6F43"/>
    <w:rsid w:val="00700C9D"/>
    <w:rsid w:val="0071094E"/>
    <w:rsid w:val="00710A7C"/>
    <w:rsid w:val="00714348"/>
    <w:rsid w:val="00717A49"/>
    <w:rsid w:val="007214A2"/>
    <w:rsid w:val="00725CD5"/>
    <w:rsid w:val="00725D55"/>
    <w:rsid w:val="0072640C"/>
    <w:rsid w:val="007310CB"/>
    <w:rsid w:val="00731950"/>
    <w:rsid w:val="00732308"/>
    <w:rsid w:val="00732C7A"/>
    <w:rsid w:val="00733715"/>
    <w:rsid w:val="00736389"/>
    <w:rsid w:val="007419C2"/>
    <w:rsid w:val="0074404E"/>
    <w:rsid w:val="00744C89"/>
    <w:rsid w:val="0074541C"/>
    <w:rsid w:val="00773DC6"/>
    <w:rsid w:val="007807A1"/>
    <w:rsid w:val="00781BC2"/>
    <w:rsid w:val="00781E7A"/>
    <w:rsid w:val="00783ACC"/>
    <w:rsid w:val="007870F4"/>
    <w:rsid w:val="00792B40"/>
    <w:rsid w:val="00794447"/>
    <w:rsid w:val="00794B24"/>
    <w:rsid w:val="00795759"/>
    <w:rsid w:val="00797F67"/>
    <w:rsid w:val="007A3132"/>
    <w:rsid w:val="007A6295"/>
    <w:rsid w:val="007A7DB5"/>
    <w:rsid w:val="007B34B2"/>
    <w:rsid w:val="007B4F8B"/>
    <w:rsid w:val="007C43C6"/>
    <w:rsid w:val="007C5124"/>
    <w:rsid w:val="007C7F98"/>
    <w:rsid w:val="007D0654"/>
    <w:rsid w:val="007E46F2"/>
    <w:rsid w:val="007F6BFA"/>
    <w:rsid w:val="007F6CB2"/>
    <w:rsid w:val="007F75EE"/>
    <w:rsid w:val="0080160D"/>
    <w:rsid w:val="00801F29"/>
    <w:rsid w:val="00802484"/>
    <w:rsid w:val="00802F58"/>
    <w:rsid w:val="008042FF"/>
    <w:rsid w:val="00810EE8"/>
    <w:rsid w:val="00813811"/>
    <w:rsid w:val="00814165"/>
    <w:rsid w:val="00814C74"/>
    <w:rsid w:val="00817CDA"/>
    <w:rsid w:val="0082025E"/>
    <w:rsid w:val="0082028D"/>
    <w:rsid w:val="008215F6"/>
    <w:rsid w:val="008227C8"/>
    <w:rsid w:val="0082353D"/>
    <w:rsid w:val="00836790"/>
    <w:rsid w:val="00840AD8"/>
    <w:rsid w:val="00842AA6"/>
    <w:rsid w:val="00861024"/>
    <w:rsid w:val="008618B1"/>
    <w:rsid w:val="008618D6"/>
    <w:rsid w:val="00862D19"/>
    <w:rsid w:val="008669CF"/>
    <w:rsid w:val="00874D35"/>
    <w:rsid w:val="008765D3"/>
    <w:rsid w:val="00880B3A"/>
    <w:rsid w:val="00896A1E"/>
    <w:rsid w:val="00896D66"/>
    <w:rsid w:val="008A1398"/>
    <w:rsid w:val="008A557A"/>
    <w:rsid w:val="008A7016"/>
    <w:rsid w:val="008A74E9"/>
    <w:rsid w:val="008A763A"/>
    <w:rsid w:val="008B1FAA"/>
    <w:rsid w:val="008B4C97"/>
    <w:rsid w:val="008C4EAA"/>
    <w:rsid w:val="008C6E68"/>
    <w:rsid w:val="008C7720"/>
    <w:rsid w:val="008D1116"/>
    <w:rsid w:val="008D1D7E"/>
    <w:rsid w:val="008D1EB1"/>
    <w:rsid w:val="008D44A6"/>
    <w:rsid w:val="008D74CE"/>
    <w:rsid w:val="008E09AD"/>
    <w:rsid w:val="008E30D9"/>
    <w:rsid w:val="008F2152"/>
    <w:rsid w:val="008F6BB8"/>
    <w:rsid w:val="008F7868"/>
    <w:rsid w:val="00901350"/>
    <w:rsid w:val="009028E4"/>
    <w:rsid w:val="00903EB7"/>
    <w:rsid w:val="00907ADD"/>
    <w:rsid w:val="009145E7"/>
    <w:rsid w:val="0091485B"/>
    <w:rsid w:val="009153B6"/>
    <w:rsid w:val="00921C99"/>
    <w:rsid w:val="00925F8F"/>
    <w:rsid w:val="0092645C"/>
    <w:rsid w:val="0092732C"/>
    <w:rsid w:val="00931B32"/>
    <w:rsid w:val="00936049"/>
    <w:rsid w:val="0094295D"/>
    <w:rsid w:val="009445EC"/>
    <w:rsid w:val="009453EF"/>
    <w:rsid w:val="009534B4"/>
    <w:rsid w:val="00957824"/>
    <w:rsid w:val="00971DE6"/>
    <w:rsid w:val="00972121"/>
    <w:rsid w:val="00977415"/>
    <w:rsid w:val="009800E1"/>
    <w:rsid w:val="00983463"/>
    <w:rsid w:val="0098553C"/>
    <w:rsid w:val="0098796B"/>
    <w:rsid w:val="00990AE7"/>
    <w:rsid w:val="00990B3A"/>
    <w:rsid w:val="00995F3D"/>
    <w:rsid w:val="009A0436"/>
    <w:rsid w:val="009A2647"/>
    <w:rsid w:val="009A3113"/>
    <w:rsid w:val="009A4E27"/>
    <w:rsid w:val="009A777E"/>
    <w:rsid w:val="009B0325"/>
    <w:rsid w:val="009B57C4"/>
    <w:rsid w:val="009B6B53"/>
    <w:rsid w:val="009C23FA"/>
    <w:rsid w:val="009C644C"/>
    <w:rsid w:val="009C7FA0"/>
    <w:rsid w:val="009D0A56"/>
    <w:rsid w:val="009D14A4"/>
    <w:rsid w:val="009D3230"/>
    <w:rsid w:val="009D4CD7"/>
    <w:rsid w:val="009D5763"/>
    <w:rsid w:val="009D5BA1"/>
    <w:rsid w:val="009D7C51"/>
    <w:rsid w:val="009E05AF"/>
    <w:rsid w:val="009E3443"/>
    <w:rsid w:val="009E3AED"/>
    <w:rsid w:val="009E3D87"/>
    <w:rsid w:val="009E4413"/>
    <w:rsid w:val="009E7F59"/>
    <w:rsid w:val="009F0EC1"/>
    <w:rsid w:val="009F4497"/>
    <w:rsid w:val="009F7430"/>
    <w:rsid w:val="00A006C1"/>
    <w:rsid w:val="00A02ADC"/>
    <w:rsid w:val="00A039C1"/>
    <w:rsid w:val="00A04037"/>
    <w:rsid w:val="00A04EBD"/>
    <w:rsid w:val="00A103A2"/>
    <w:rsid w:val="00A10BA3"/>
    <w:rsid w:val="00A146FF"/>
    <w:rsid w:val="00A1685C"/>
    <w:rsid w:val="00A22A5A"/>
    <w:rsid w:val="00A24595"/>
    <w:rsid w:val="00A25FBD"/>
    <w:rsid w:val="00A31450"/>
    <w:rsid w:val="00A340FD"/>
    <w:rsid w:val="00A35DF2"/>
    <w:rsid w:val="00A458EF"/>
    <w:rsid w:val="00A53406"/>
    <w:rsid w:val="00A54E0F"/>
    <w:rsid w:val="00A57816"/>
    <w:rsid w:val="00A60F2E"/>
    <w:rsid w:val="00A610AC"/>
    <w:rsid w:val="00A63E5B"/>
    <w:rsid w:val="00A7050D"/>
    <w:rsid w:val="00A71E37"/>
    <w:rsid w:val="00A745CD"/>
    <w:rsid w:val="00A77A1C"/>
    <w:rsid w:val="00A85303"/>
    <w:rsid w:val="00A90B29"/>
    <w:rsid w:val="00A95C6F"/>
    <w:rsid w:val="00A95DE4"/>
    <w:rsid w:val="00A96106"/>
    <w:rsid w:val="00A96AE2"/>
    <w:rsid w:val="00A96E7C"/>
    <w:rsid w:val="00A97E5E"/>
    <w:rsid w:val="00AA1C40"/>
    <w:rsid w:val="00AA394B"/>
    <w:rsid w:val="00AA49CA"/>
    <w:rsid w:val="00AA5E6D"/>
    <w:rsid w:val="00AB01D0"/>
    <w:rsid w:val="00AB05E9"/>
    <w:rsid w:val="00AB08EC"/>
    <w:rsid w:val="00AB1F1F"/>
    <w:rsid w:val="00AB2748"/>
    <w:rsid w:val="00AB750E"/>
    <w:rsid w:val="00AC2F42"/>
    <w:rsid w:val="00AC397E"/>
    <w:rsid w:val="00AC611C"/>
    <w:rsid w:val="00AD1CBE"/>
    <w:rsid w:val="00AD3BF8"/>
    <w:rsid w:val="00AD4050"/>
    <w:rsid w:val="00AE1D2D"/>
    <w:rsid w:val="00AE2897"/>
    <w:rsid w:val="00AE51A4"/>
    <w:rsid w:val="00AE77ED"/>
    <w:rsid w:val="00AF2852"/>
    <w:rsid w:val="00AF6C17"/>
    <w:rsid w:val="00B003C8"/>
    <w:rsid w:val="00B02B0A"/>
    <w:rsid w:val="00B02D84"/>
    <w:rsid w:val="00B077C7"/>
    <w:rsid w:val="00B1361C"/>
    <w:rsid w:val="00B148F6"/>
    <w:rsid w:val="00B14FEC"/>
    <w:rsid w:val="00B24B07"/>
    <w:rsid w:val="00B3452C"/>
    <w:rsid w:val="00B419B5"/>
    <w:rsid w:val="00B45965"/>
    <w:rsid w:val="00B45B0C"/>
    <w:rsid w:val="00B45E38"/>
    <w:rsid w:val="00B47735"/>
    <w:rsid w:val="00B50261"/>
    <w:rsid w:val="00B5354A"/>
    <w:rsid w:val="00B55516"/>
    <w:rsid w:val="00B56E23"/>
    <w:rsid w:val="00B57B61"/>
    <w:rsid w:val="00B60221"/>
    <w:rsid w:val="00B63BF8"/>
    <w:rsid w:val="00B64DE7"/>
    <w:rsid w:val="00B664C5"/>
    <w:rsid w:val="00B74559"/>
    <w:rsid w:val="00B74970"/>
    <w:rsid w:val="00B8153D"/>
    <w:rsid w:val="00B85360"/>
    <w:rsid w:val="00B863CA"/>
    <w:rsid w:val="00B86A76"/>
    <w:rsid w:val="00B9618A"/>
    <w:rsid w:val="00B97377"/>
    <w:rsid w:val="00B9759F"/>
    <w:rsid w:val="00BA44A0"/>
    <w:rsid w:val="00BA6708"/>
    <w:rsid w:val="00BB05CE"/>
    <w:rsid w:val="00BB248A"/>
    <w:rsid w:val="00BB4DC2"/>
    <w:rsid w:val="00BC2900"/>
    <w:rsid w:val="00BC5519"/>
    <w:rsid w:val="00BC5C02"/>
    <w:rsid w:val="00BD0676"/>
    <w:rsid w:val="00BD290F"/>
    <w:rsid w:val="00BD3483"/>
    <w:rsid w:val="00BD5757"/>
    <w:rsid w:val="00BE3954"/>
    <w:rsid w:val="00BE77E6"/>
    <w:rsid w:val="00BF55B8"/>
    <w:rsid w:val="00BF788A"/>
    <w:rsid w:val="00C01957"/>
    <w:rsid w:val="00C032DE"/>
    <w:rsid w:val="00C03E1D"/>
    <w:rsid w:val="00C12AD3"/>
    <w:rsid w:val="00C20712"/>
    <w:rsid w:val="00C24ABF"/>
    <w:rsid w:val="00C24CC1"/>
    <w:rsid w:val="00C24CDE"/>
    <w:rsid w:val="00C26522"/>
    <w:rsid w:val="00C271C2"/>
    <w:rsid w:val="00C33223"/>
    <w:rsid w:val="00C36B1B"/>
    <w:rsid w:val="00C3793C"/>
    <w:rsid w:val="00C53795"/>
    <w:rsid w:val="00C5510C"/>
    <w:rsid w:val="00C61DB4"/>
    <w:rsid w:val="00C67C6F"/>
    <w:rsid w:val="00C73C5A"/>
    <w:rsid w:val="00C746C8"/>
    <w:rsid w:val="00C75DEE"/>
    <w:rsid w:val="00C77000"/>
    <w:rsid w:val="00C779D3"/>
    <w:rsid w:val="00C8123B"/>
    <w:rsid w:val="00C815E6"/>
    <w:rsid w:val="00C81F2D"/>
    <w:rsid w:val="00C839E4"/>
    <w:rsid w:val="00C867A7"/>
    <w:rsid w:val="00C904A8"/>
    <w:rsid w:val="00C916FE"/>
    <w:rsid w:val="00C948AA"/>
    <w:rsid w:val="00C964D1"/>
    <w:rsid w:val="00CA13F1"/>
    <w:rsid w:val="00CA38DF"/>
    <w:rsid w:val="00CB2FCB"/>
    <w:rsid w:val="00CC5786"/>
    <w:rsid w:val="00CC5C38"/>
    <w:rsid w:val="00CD06F7"/>
    <w:rsid w:val="00CD1A8C"/>
    <w:rsid w:val="00CD3D0F"/>
    <w:rsid w:val="00CD3E62"/>
    <w:rsid w:val="00CD4CDE"/>
    <w:rsid w:val="00CD6975"/>
    <w:rsid w:val="00CE000A"/>
    <w:rsid w:val="00CE1E21"/>
    <w:rsid w:val="00CE3C05"/>
    <w:rsid w:val="00CE4267"/>
    <w:rsid w:val="00CE5930"/>
    <w:rsid w:val="00CE7FB1"/>
    <w:rsid w:val="00D02B1D"/>
    <w:rsid w:val="00D05FC3"/>
    <w:rsid w:val="00D06135"/>
    <w:rsid w:val="00D12E5F"/>
    <w:rsid w:val="00D2150C"/>
    <w:rsid w:val="00D25095"/>
    <w:rsid w:val="00D25F41"/>
    <w:rsid w:val="00D27B82"/>
    <w:rsid w:val="00D27CD4"/>
    <w:rsid w:val="00D30BA3"/>
    <w:rsid w:val="00D33274"/>
    <w:rsid w:val="00D44B8F"/>
    <w:rsid w:val="00D44CF4"/>
    <w:rsid w:val="00D5167D"/>
    <w:rsid w:val="00D534F4"/>
    <w:rsid w:val="00D54ECB"/>
    <w:rsid w:val="00D56B51"/>
    <w:rsid w:val="00D64932"/>
    <w:rsid w:val="00D70BA4"/>
    <w:rsid w:val="00D727F8"/>
    <w:rsid w:val="00D73A60"/>
    <w:rsid w:val="00D7410A"/>
    <w:rsid w:val="00D75E2B"/>
    <w:rsid w:val="00D76460"/>
    <w:rsid w:val="00D8112C"/>
    <w:rsid w:val="00D82550"/>
    <w:rsid w:val="00D8342A"/>
    <w:rsid w:val="00D84298"/>
    <w:rsid w:val="00D901A2"/>
    <w:rsid w:val="00D92EC5"/>
    <w:rsid w:val="00D94CAE"/>
    <w:rsid w:val="00DA6FDC"/>
    <w:rsid w:val="00DB13BB"/>
    <w:rsid w:val="00DB2FE9"/>
    <w:rsid w:val="00DB3C63"/>
    <w:rsid w:val="00DC6BCF"/>
    <w:rsid w:val="00DC79C3"/>
    <w:rsid w:val="00DD060C"/>
    <w:rsid w:val="00DD0D57"/>
    <w:rsid w:val="00DD4860"/>
    <w:rsid w:val="00DD5999"/>
    <w:rsid w:val="00DD75A6"/>
    <w:rsid w:val="00DE3AF0"/>
    <w:rsid w:val="00DF196C"/>
    <w:rsid w:val="00DF1C9B"/>
    <w:rsid w:val="00DF406C"/>
    <w:rsid w:val="00DF453C"/>
    <w:rsid w:val="00DF56EF"/>
    <w:rsid w:val="00DF5F8A"/>
    <w:rsid w:val="00DF6176"/>
    <w:rsid w:val="00E046BC"/>
    <w:rsid w:val="00E07FB3"/>
    <w:rsid w:val="00E10579"/>
    <w:rsid w:val="00E12EB4"/>
    <w:rsid w:val="00E1380B"/>
    <w:rsid w:val="00E15113"/>
    <w:rsid w:val="00E219FE"/>
    <w:rsid w:val="00E229A2"/>
    <w:rsid w:val="00E24053"/>
    <w:rsid w:val="00E2491F"/>
    <w:rsid w:val="00E32626"/>
    <w:rsid w:val="00E32CBA"/>
    <w:rsid w:val="00E42E62"/>
    <w:rsid w:val="00E46E98"/>
    <w:rsid w:val="00E60BE7"/>
    <w:rsid w:val="00E60EC4"/>
    <w:rsid w:val="00E74EB7"/>
    <w:rsid w:val="00E755E6"/>
    <w:rsid w:val="00E77AA5"/>
    <w:rsid w:val="00E77C40"/>
    <w:rsid w:val="00E80608"/>
    <w:rsid w:val="00E81895"/>
    <w:rsid w:val="00E8484E"/>
    <w:rsid w:val="00E8702C"/>
    <w:rsid w:val="00E871EB"/>
    <w:rsid w:val="00E91604"/>
    <w:rsid w:val="00E94836"/>
    <w:rsid w:val="00E966DD"/>
    <w:rsid w:val="00E96E86"/>
    <w:rsid w:val="00EA05B6"/>
    <w:rsid w:val="00EA1C63"/>
    <w:rsid w:val="00EA2CA7"/>
    <w:rsid w:val="00EA30E7"/>
    <w:rsid w:val="00EA5A29"/>
    <w:rsid w:val="00EA7F71"/>
    <w:rsid w:val="00EB4D1C"/>
    <w:rsid w:val="00EB5D06"/>
    <w:rsid w:val="00EC0BAF"/>
    <w:rsid w:val="00EC399F"/>
    <w:rsid w:val="00ED1B18"/>
    <w:rsid w:val="00ED21C0"/>
    <w:rsid w:val="00ED497C"/>
    <w:rsid w:val="00ED7B7E"/>
    <w:rsid w:val="00ED7E46"/>
    <w:rsid w:val="00EE0D3D"/>
    <w:rsid w:val="00EE438A"/>
    <w:rsid w:val="00EE527E"/>
    <w:rsid w:val="00EE5F28"/>
    <w:rsid w:val="00EE6F69"/>
    <w:rsid w:val="00EE73DD"/>
    <w:rsid w:val="00EE73F9"/>
    <w:rsid w:val="00EF0F20"/>
    <w:rsid w:val="00EF1384"/>
    <w:rsid w:val="00EF1656"/>
    <w:rsid w:val="00EF16A7"/>
    <w:rsid w:val="00EF196D"/>
    <w:rsid w:val="00EF3B9B"/>
    <w:rsid w:val="00EF3E49"/>
    <w:rsid w:val="00F02E05"/>
    <w:rsid w:val="00F07747"/>
    <w:rsid w:val="00F11C86"/>
    <w:rsid w:val="00F134E2"/>
    <w:rsid w:val="00F13CB1"/>
    <w:rsid w:val="00F13D1F"/>
    <w:rsid w:val="00F158BD"/>
    <w:rsid w:val="00F22B13"/>
    <w:rsid w:val="00F237FD"/>
    <w:rsid w:val="00F25BB4"/>
    <w:rsid w:val="00F35021"/>
    <w:rsid w:val="00F357B3"/>
    <w:rsid w:val="00F35B40"/>
    <w:rsid w:val="00F40630"/>
    <w:rsid w:val="00F40A8F"/>
    <w:rsid w:val="00F41E34"/>
    <w:rsid w:val="00F43DAF"/>
    <w:rsid w:val="00F44CAB"/>
    <w:rsid w:val="00F453A4"/>
    <w:rsid w:val="00F4745A"/>
    <w:rsid w:val="00F52AC9"/>
    <w:rsid w:val="00F614D4"/>
    <w:rsid w:val="00F66484"/>
    <w:rsid w:val="00F741B3"/>
    <w:rsid w:val="00F75663"/>
    <w:rsid w:val="00F75E48"/>
    <w:rsid w:val="00F812F6"/>
    <w:rsid w:val="00F85B6D"/>
    <w:rsid w:val="00F91542"/>
    <w:rsid w:val="00FA08C6"/>
    <w:rsid w:val="00FA0BF8"/>
    <w:rsid w:val="00FA223B"/>
    <w:rsid w:val="00FA3A72"/>
    <w:rsid w:val="00FA4069"/>
    <w:rsid w:val="00FB0633"/>
    <w:rsid w:val="00FB7CC8"/>
    <w:rsid w:val="00FC3961"/>
    <w:rsid w:val="00FC4D42"/>
    <w:rsid w:val="00FC6ECD"/>
    <w:rsid w:val="00FD3B85"/>
    <w:rsid w:val="00FD3EAA"/>
    <w:rsid w:val="00FD4754"/>
    <w:rsid w:val="00FD4B89"/>
    <w:rsid w:val="00FD50A6"/>
    <w:rsid w:val="00FD6C66"/>
    <w:rsid w:val="00FE002B"/>
    <w:rsid w:val="00FE014B"/>
    <w:rsid w:val="00FE37F4"/>
    <w:rsid w:val="00FF0B3F"/>
    <w:rsid w:val="00FF1385"/>
    <w:rsid w:val="00FF17A7"/>
    <w:rsid w:val="00FF291B"/>
    <w:rsid w:val="00FF634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261C62"/>
  <w15:docId w15:val="{BBF9BAC5-353A-44B2-8521-85D68F72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PGothic" w:hAnsi="Calibri" w:cs="Times New Roman"/>
        <w:lang w:val="en-GB" w:eastAsia="en-US" w:bidi="ar-SA"/>
      </w:rPr>
    </w:rPrDefault>
    <w:pPrDefault/>
  </w:docDefaults>
  <w:latentStyles w:defLockedState="0" w:defUIPriority="99" w:defSemiHidden="0" w:defUnhideWhenUsed="0" w:defQFormat="0" w:count="375">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19" w:unhideWhenUsed="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 w:qFormat="1"/>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63"/>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0"/>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RI Body"/>
    <w:uiPriority w:val="5"/>
    <w:qFormat/>
    <w:rsid w:val="00CD3D0F"/>
    <w:pPr>
      <w:widowControl w:val="0"/>
      <w:autoSpaceDE w:val="0"/>
      <w:autoSpaceDN w:val="0"/>
      <w:adjustRightInd w:val="0"/>
      <w:spacing w:before="120" w:after="240" w:line="312" w:lineRule="auto"/>
    </w:pPr>
    <w:rPr>
      <w:rFonts w:ascii="Arial" w:hAnsi="Arial" w:cs="Arial"/>
    </w:rPr>
  </w:style>
  <w:style w:type="paragraph" w:styleId="Heading1">
    <w:name w:val="heading 1"/>
    <w:aliases w:val="PRI Heading 1"/>
    <w:basedOn w:val="Normal"/>
    <w:next w:val="Normal"/>
    <w:link w:val="Heading1Char"/>
    <w:uiPriority w:val="1"/>
    <w:qFormat/>
    <w:rsid w:val="001654AE"/>
    <w:pPr>
      <w:spacing w:before="360"/>
      <w:contextualSpacing/>
      <w:outlineLvl w:val="0"/>
    </w:pPr>
    <w:rPr>
      <w:b/>
      <w:color w:val="0050A6"/>
      <w:sz w:val="32"/>
      <w:szCs w:val="36"/>
    </w:rPr>
  </w:style>
  <w:style w:type="paragraph" w:styleId="Heading2">
    <w:name w:val="heading 2"/>
    <w:aliases w:val="PRI Heading 2"/>
    <w:basedOn w:val="Normal"/>
    <w:next w:val="Normal"/>
    <w:link w:val="Heading2Char"/>
    <w:uiPriority w:val="2"/>
    <w:unhideWhenUsed/>
    <w:qFormat/>
    <w:rsid w:val="001654AE"/>
    <w:pPr>
      <w:spacing w:before="360" w:after="200"/>
      <w:contextualSpacing/>
      <w:outlineLvl w:val="1"/>
    </w:pPr>
    <w:rPr>
      <w:b/>
      <w:bCs/>
      <w:color w:val="008CD0"/>
      <w:sz w:val="30"/>
      <w:szCs w:val="28"/>
    </w:rPr>
  </w:style>
  <w:style w:type="paragraph" w:styleId="Heading3">
    <w:name w:val="heading 3"/>
    <w:aliases w:val="PRI Heading 3"/>
    <w:basedOn w:val="Normal"/>
    <w:next w:val="Normal"/>
    <w:link w:val="Heading3Char"/>
    <w:uiPriority w:val="3"/>
    <w:unhideWhenUsed/>
    <w:qFormat/>
    <w:rsid w:val="001654AE"/>
    <w:pPr>
      <w:spacing w:before="360" w:after="160"/>
      <w:contextualSpacing/>
      <w:outlineLvl w:val="2"/>
    </w:pPr>
    <w:rPr>
      <w:b/>
      <w:bCs/>
      <w:color w:val="008CD0"/>
      <w:sz w:val="24"/>
      <w:szCs w:val="24"/>
    </w:rPr>
  </w:style>
  <w:style w:type="paragraph" w:styleId="Heading4">
    <w:name w:val="heading 4"/>
    <w:aliases w:val="PRI Heading 4"/>
    <w:basedOn w:val="Normal"/>
    <w:next w:val="Normal"/>
    <w:link w:val="Heading4Char"/>
    <w:uiPriority w:val="4"/>
    <w:unhideWhenUsed/>
    <w:qFormat/>
    <w:rsid w:val="005B584F"/>
    <w:pPr>
      <w:spacing w:after="0"/>
      <w:contextualSpacing/>
      <w:outlineLvl w:val="3"/>
    </w:pPr>
    <w:rPr>
      <w:b/>
      <w:bCs/>
      <w:color w:val="008CC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EF"/>
    <w:pPr>
      <w:tabs>
        <w:tab w:val="center" w:pos="4320"/>
        <w:tab w:val="right" w:pos="8640"/>
      </w:tabs>
    </w:pPr>
  </w:style>
  <w:style w:type="character" w:customStyle="1" w:styleId="HeaderChar">
    <w:name w:val="Header Char"/>
    <w:basedOn w:val="DefaultParagraphFont"/>
    <w:link w:val="Header"/>
    <w:uiPriority w:val="99"/>
    <w:rsid w:val="00A458EF"/>
  </w:style>
  <w:style w:type="paragraph" w:styleId="Footer">
    <w:name w:val="footer"/>
    <w:basedOn w:val="Normal"/>
    <w:link w:val="FooterChar"/>
    <w:uiPriority w:val="99"/>
    <w:unhideWhenUsed/>
    <w:rsid w:val="00A458EF"/>
    <w:pPr>
      <w:tabs>
        <w:tab w:val="center" w:pos="4320"/>
        <w:tab w:val="right" w:pos="8640"/>
      </w:tabs>
    </w:pPr>
  </w:style>
  <w:style w:type="character" w:customStyle="1" w:styleId="FooterChar">
    <w:name w:val="Footer Char"/>
    <w:basedOn w:val="DefaultParagraphFont"/>
    <w:link w:val="Footer"/>
    <w:uiPriority w:val="99"/>
    <w:rsid w:val="00A458EF"/>
  </w:style>
  <w:style w:type="paragraph" w:styleId="ListParagraph">
    <w:name w:val="List Paragraph"/>
    <w:aliases w:val="PRI Bullets"/>
    <w:basedOn w:val="Normal"/>
    <w:uiPriority w:val="34"/>
    <w:qFormat/>
    <w:rsid w:val="002975B6"/>
    <w:pPr>
      <w:numPr>
        <w:numId w:val="1"/>
      </w:numPr>
      <w:spacing w:before="60" w:after="60" w:line="288" w:lineRule="auto"/>
      <w:ind w:left="357" w:hanging="357"/>
    </w:pPr>
  </w:style>
  <w:style w:type="character" w:customStyle="1" w:styleId="Heading1Char">
    <w:name w:val="Heading 1 Char"/>
    <w:aliases w:val="PRI Heading 1 Char"/>
    <w:basedOn w:val="DefaultParagraphFont"/>
    <w:link w:val="Heading1"/>
    <w:uiPriority w:val="1"/>
    <w:rsid w:val="001654AE"/>
    <w:rPr>
      <w:rFonts w:ascii="Arial" w:hAnsi="Arial" w:cs="Arial"/>
      <w:b/>
      <w:color w:val="0050A6"/>
      <w:sz w:val="32"/>
      <w:szCs w:val="36"/>
    </w:rPr>
  </w:style>
  <w:style w:type="character" w:customStyle="1" w:styleId="Heading2Char">
    <w:name w:val="Heading 2 Char"/>
    <w:aliases w:val="PRI Heading 2 Char"/>
    <w:basedOn w:val="DefaultParagraphFont"/>
    <w:link w:val="Heading2"/>
    <w:uiPriority w:val="2"/>
    <w:rsid w:val="001654AE"/>
    <w:rPr>
      <w:rFonts w:ascii="Arial" w:hAnsi="Arial" w:cs="Arial"/>
      <w:b/>
      <w:bCs/>
      <w:color w:val="008CD0"/>
      <w:sz w:val="30"/>
      <w:szCs w:val="28"/>
    </w:rPr>
  </w:style>
  <w:style w:type="character" w:customStyle="1" w:styleId="Heading3Char">
    <w:name w:val="Heading 3 Char"/>
    <w:aliases w:val="PRI Heading 3 Char"/>
    <w:basedOn w:val="DefaultParagraphFont"/>
    <w:link w:val="Heading3"/>
    <w:uiPriority w:val="3"/>
    <w:rsid w:val="001654AE"/>
    <w:rPr>
      <w:rFonts w:ascii="Arial" w:hAnsi="Arial" w:cs="Arial"/>
      <w:b/>
      <w:bCs/>
      <w:color w:val="008CD0"/>
      <w:sz w:val="24"/>
      <w:szCs w:val="24"/>
    </w:rPr>
  </w:style>
  <w:style w:type="character" w:customStyle="1" w:styleId="Heading4Char">
    <w:name w:val="Heading 4 Char"/>
    <w:aliases w:val="PRI Heading 4 Char"/>
    <w:basedOn w:val="DefaultParagraphFont"/>
    <w:link w:val="Heading4"/>
    <w:uiPriority w:val="4"/>
    <w:rsid w:val="005B584F"/>
    <w:rPr>
      <w:rFonts w:ascii="Arial" w:hAnsi="Arial" w:cs="Arial"/>
      <w:b/>
      <w:bCs/>
      <w:color w:val="008CC8"/>
      <w:szCs w:val="24"/>
    </w:rPr>
  </w:style>
  <w:style w:type="paragraph" w:styleId="Title">
    <w:name w:val="Title"/>
    <w:aliases w:val="PRI Title"/>
    <w:basedOn w:val="Normal"/>
    <w:next w:val="Normal"/>
    <w:link w:val="TitleChar"/>
    <w:qFormat/>
    <w:rsid w:val="00C20712"/>
    <w:pPr>
      <w:pBdr>
        <w:bottom w:val="single" w:sz="8" w:space="4" w:color="0050A6"/>
      </w:pBdr>
      <w:spacing w:before="1760" w:after="420" w:line="240" w:lineRule="auto"/>
      <w:contextualSpacing/>
    </w:pPr>
    <w:rPr>
      <w:color w:val="0050A6"/>
      <w:sz w:val="44"/>
      <w:szCs w:val="56"/>
    </w:rPr>
  </w:style>
  <w:style w:type="character" w:customStyle="1" w:styleId="TitleChar">
    <w:name w:val="Title Char"/>
    <w:aliases w:val="PRI Title Char"/>
    <w:basedOn w:val="DefaultParagraphFont"/>
    <w:link w:val="Title"/>
    <w:rsid w:val="00C20712"/>
    <w:rPr>
      <w:rFonts w:ascii="Arial" w:hAnsi="Arial" w:cs="Arial"/>
      <w:color w:val="0050A6"/>
      <w:sz w:val="44"/>
      <w:szCs w:val="56"/>
    </w:rPr>
  </w:style>
  <w:style w:type="paragraph" w:styleId="Quote">
    <w:name w:val="Quote"/>
    <w:aliases w:val="PRI Quote"/>
    <w:basedOn w:val="Normal"/>
    <w:next w:val="Normal"/>
    <w:link w:val="QuoteChar"/>
    <w:uiPriority w:val="7"/>
    <w:qFormat/>
    <w:rsid w:val="00141367"/>
    <w:pPr>
      <w:spacing w:before="100" w:after="100"/>
      <w:ind w:left="341" w:right="284" w:hanging="57"/>
    </w:pPr>
    <w:rPr>
      <w:i/>
    </w:rPr>
  </w:style>
  <w:style w:type="character" w:customStyle="1" w:styleId="QuoteChar">
    <w:name w:val="Quote Char"/>
    <w:aliases w:val="PRI Quote Char"/>
    <w:basedOn w:val="DefaultParagraphFont"/>
    <w:link w:val="Quote"/>
    <w:uiPriority w:val="7"/>
    <w:rsid w:val="00FA4069"/>
    <w:rPr>
      <w:rFonts w:ascii="Arial" w:hAnsi="Arial" w:cs="Arial"/>
      <w:i/>
      <w:sz w:val="20"/>
      <w:szCs w:val="20"/>
    </w:rPr>
  </w:style>
  <w:style w:type="character" w:styleId="Strong">
    <w:name w:val="Strong"/>
    <w:aliases w:val="PRI Bold Body"/>
    <w:uiPriority w:val="8"/>
    <w:qFormat/>
    <w:rsid w:val="00304A6F"/>
    <w:rPr>
      <w:rFonts w:ascii="Arial" w:hAnsi="Arial"/>
      <w:b/>
      <w:i w:val="0"/>
    </w:rPr>
  </w:style>
  <w:style w:type="paragraph" w:customStyle="1" w:styleId="PRIFigureCaption">
    <w:name w:val="PRI Figure Caption"/>
    <w:basedOn w:val="Normal"/>
    <w:uiPriority w:val="9"/>
    <w:qFormat/>
    <w:rsid w:val="00B60221"/>
    <w:pPr>
      <w:spacing w:after="320"/>
      <w:jc w:val="right"/>
    </w:pPr>
    <w:rPr>
      <w:color w:val="595959"/>
      <w:sz w:val="18"/>
      <w:szCs w:val="18"/>
    </w:rPr>
  </w:style>
  <w:style w:type="paragraph" w:customStyle="1" w:styleId="PRITableHeading">
    <w:name w:val="PRI Table Heading"/>
    <w:basedOn w:val="Normal"/>
    <w:uiPriority w:val="11"/>
    <w:qFormat/>
    <w:rsid w:val="004C5458"/>
    <w:rPr>
      <w:color w:val="FFFFFF"/>
      <w:sz w:val="24"/>
      <w:szCs w:val="24"/>
    </w:rPr>
  </w:style>
  <w:style w:type="paragraph" w:customStyle="1" w:styleId="PRITableContent">
    <w:name w:val="PRI Table Content"/>
    <w:basedOn w:val="Normal"/>
    <w:uiPriority w:val="12"/>
    <w:qFormat/>
    <w:rsid w:val="008A7016"/>
    <w:pPr>
      <w:spacing w:line="240" w:lineRule="auto"/>
    </w:pPr>
  </w:style>
  <w:style w:type="paragraph" w:styleId="FootnoteText">
    <w:name w:val="footnote text"/>
    <w:aliases w:val="PRI Footnote Text"/>
    <w:basedOn w:val="Normal"/>
    <w:link w:val="FootnoteTextChar"/>
    <w:autoRedefine/>
    <w:uiPriority w:val="99"/>
    <w:unhideWhenUsed/>
    <w:qFormat/>
    <w:rsid w:val="00B1361C"/>
    <w:pPr>
      <w:spacing w:line="240" w:lineRule="auto"/>
    </w:pPr>
    <w:rPr>
      <w:color w:val="808080"/>
      <w:sz w:val="17"/>
      <w:szCs w:val="24"/>
    </w:rPr>
  </w:style>
  <w:style w:type="character" w:customStyle="1" w:styleId="FootnoteTextChar">
    <w:name w:val="Footnote Text Char"/>
    <w:aliases w:val="PRI Footnote Text Char"/>
    <w:basedOn w:val="DefaultParagraphFont"/>
    <w:link w:val="FootnoteText"/>
    <w:uiPriority w:val="99"/>
    <w:rsid w:val="00C867A7"/>
    <w:rPr>
      <w:rFonts w:ascii="Arial" w:hAnsi="Arial" w:cs="Arial"/>
      <w:color w:val="808080"/>
      <w:sz w:val="17"/>
    </w:rPr>
  </w:style>
  <w:style w:type="character" w:styleId="FootnoteReference">
    <w:name w:val="footnote reference"/>
    <w:basedOn w:val="DefaultParagraphFont"/>
    <w:uiPriority w:val="99"/>
    <w:unhideWhenUsed/>
    <w:rsid w:val="00B1361C"/>
    <w:rPr>
      <w:vertAlign w:val="superscript"/>
    </w:rPr>
  </w:style>
  <w:style w:type="character" w:styleId="SubtleEmphasis">
    <w:name w:val="Subtle Emphasis"/>
    <w:basedOn w:val="DefaultParagraphFont"/>
    <w:uiPriority w:val="19"/>
    <w:rsid w:val="0045739C"/>
    <w:rPr>
      <w:i/>
      <w:iCs/>
      <w:color w:val="808080"/>
    </w:rPr>
  </w:style>
  <w:style w:type="character" w:styleId="Emphasis">
    <w:name w:val="Emphasis"/>
    <w:basedOn w:val="DefaultParagraphFont"/>
    <w:uiPriority w:val="20"/>
    <w:rsid w:val="0045739C"/>
    <w:rPr>
      <w:i/>
      <w:iCs/>
    </w:rPr>
  </w:style>
  <w:style w:type="character" w:styleId="IntenseEmphasis">
    <w:name w:val="Intense Emphasis"/>
    <w:basedOn w:val="DefaultParagraphFont"/>
    <w:uiPriority w:val="21"/>
    <w:rsid w:val="0045739C"/>
    <w:rPr>
      <w:b/>
      <w:bCs/>
      <w:i/>
      <w:iCs/>
      <w:color w:val="0050A6"/>
    </w:rPr>
  </w:style>
  <w:style w:type="paragraph" w:styleId="IntenseQuote">
    <w:name w:val="Intense Quote"/>
    <w:basedOn w:val="Normal"/>
    <w:next w:val="Normal"/>
    <w:link w:val="IntenseQuoteChar"/>
    <w:uiPriority w:val="30"/>
    <w:rsid w:val="0045739C"/>
    <w:pPr>
      <w:pBdr>
        <w:bottom w:val="single" w:sz="4" w:space="4" w:color="0050A6"/>
      </w:pBdr>
      <w:spacing w:before="200" w:after="280"/>
      <w:ind w:left="936" w:right="936"/>
    </w:pPr>
    <w:rPr>
      <w:b/>
      <w:bCs/>
      <w:i/>
      <w:iCs/>
      <w:color w:val="0050A6"/>
    </w:rPr>
  </w:style>
  <w:style w:type="character" w:customStyle="1" w:styleId="IntenseQuoteChar">
    <w:name w:val="Intense Quote Char"/>
    <w:basedOn w:val="DefaultParagraphFont"/>
    <w:link w:val="IntenseQuote"/>
    <w:uiPriority w:val="30"/>
    <w:rsid w:val="0045739C"/>
    <w:rPr>
      <w:rFonts w:ascii="Alright Sans Regular" w:hAnsi="Alright Sans Regular" w:cs="Arial"/>
      <w:b/>
      <w:bCs/>
      <w:i/>
      <w:iCs/>
      <w:color w:val="0050A6"/>
      <w:sz w:val="20"/>
      <w:szCs w:val="20"/>
    </w:rPr>
  </w:style>
  <w:style w:type="character" w:styleId="SubtleReference">
    <w:name w:val="Subtle Reference"/>
    <w:basedOn w:val="DefaultParagraphFont"/>
    <w:uiPriority w:val="31"/>
    <w:rsid w:val="0045739C"/>
    <w:rPr>
      <w:rFonts w:ascii="Alright Sans Regular Italic" w:hAnsi="Alright Sans Regular Italic"/>
      <w:b w:val="0"/>
      <w:i w:val="0"/>
      <w:smallCaps/>
      <w:color w:val="008CC8"/>
      <w:u w:val="single"/>
    </w:rPr>
  </w:style>
  <w:style w:type="character" w:styleId="IntenseReference">
    <w:name w:val="Intense Reference"/>
    <w:basedOn w:val="DefaultParagraphFont"/>
    <w:uiPriority w:val="32"/>
    <w:rsid w:val="0045739C"/>
    <w:rPr>
      <w:b/>
      <w:bCs/>
      <w:smallCaps/>
      <w:color w:val="008CC8"/>
      <w:spacing w:val="5"/>
      <w:u w:val="single"/>
    </w:rPr>
  </w:style>
  <w:style w:type="paragraph" w:styleId="TOC1">
    <w:name w:val="toc 1"/>
    <w:basedOn w:val="Normal"/>
    <w:next w:val="Normal"/>
    <w:link w:val="TOC1Char"/>
    <w:autoRedefine/>
    <w:uiPriority w:val="39"/>
    <w:unhideWhenUsed/>
    <w:qFormat/>
    <w:rsid w:val="008F7868"/>
    <w:pPr>
      <w:tabs>
        <w:tab w:val="left" w:pos="284"/>
        <w:tab w:val="left" w:pos="567"/>
        <w:tab w:val="left" w:pos="851"/>
        <w:tab w:val="right" w:pos="8658"/>
      </w:tabs>
    </w:pPr>
    <w:rPr>
      <w:noProof/>
    </w:rPr>
  </w:style>
  <w:style w:type="paragraph" w:styleId="TOC2">
    <w:name w:val="toc 2"/>
    <w:basedOn w:val="Normal"/>
    <w:next w:val="Normal"/>
    <w:autoRedefine/>
    <w:uiPriority w:val="39"/>
    <w:unhideWhenUsed/>
    <w:qFormat/>
    <w:rsid w:val="008F7868"/>
    <w:pPr>
      <w:tabs>
        <w:tab w:val="right" w:pos="8658"/>
      </w:tabs>
      <w:spacing w:line="360" w:lineRule="auto"/>
      <w:ind w:left="284"/>
    </w:pPr>
    <w:rPr>
      <w:noProof/>
    </w:rPr>
  </w:style>
  <w:style w:type="paragraph" w:styleId="TOC3">
    <w:name w:val="toc 3"/>
    <w:basedOn w:val="Normal"/>
    <w:next w:val="Normal"/>
    <w:autoRedefine/>
    <w:uiPriority w:val="39"/>
    <w:unhideWhenUsed/>
    <w:qFormat/>
    <w:rsid w:val="008F7868"/>
    <w:pPr>
      <w:tabs>
        <w:tab w:val="right" w:pos="8658"/>
      </w:tabs>
      <w:ind w:left="567"/>
    </w:pPr>
    <w:rPr>
      <w:noProof/>
    </w:rPr>
  </w:style>
  <w:style w:type="paragraph" w:styleId="TOC4">
    <w:name w:val="toc 4"/>
    <w:basedOn w:val="Normal"/>
    <w:next w:val="Normal"/>
    <w:autoRedefine/>
    <w:uiPriority w:val="39"/>
    <w:unhideWhenUsed/>
    <w:qFormat/>
    <w:rsid w:val="008F7868"/>
    <w:pPr>
      <w:tabs>
        <w:tab w:val="right" w:pos="8658"/>
      </w:tabs>
      <w:ind w:left="851"/>
    </w:pPr>
    <w:rPr>
      <w:noProof/>
    </w:rPr>
  </w:style>
  <w:style w:type="paragraph" w:styleId="TOC5">
    <w:name w:val="toc 5"/>
    <w:basedOn w:val="Normal"/>
    <w:next w:val="Normal"/>
    <w:autoRedefine/>
    <w:uiPriority w:val="39"/>
    <w:unhideWhenUsed/>
    <w:rsid w:val="005B7A27"/>
    <w:pPr>
      <w:ind w:left="800"/>
    </w:pPr>
    <w:rPr>
      <w:rFonts w:ascii="Calibri" w:hAnsi="Calibri"/>
    </w:rPr>
  </w:style>
  <w:style w:type="paragraph" w:styleId="TOC6">
    <w:name w:val="toc 6"/>
    <w:basedOn w:val="Normal"/>
    <w:next w:val="Normal"/>
    <w:autoRedefine/>
    <w:uiPriority w:val="39"/>
    <w:unhideWhenUsed/>
    <w:rsid w:val="005B7A27"/>
    <w:pPr>
      <w:ind w:left="1000"/>
    </w:pPr>
    <w:rPr>
      <w:rFonts w:ascii="Calibri" w:hAnsi="Calibri"/>
    </w:rPr>
  </w:style>
  <w:style w:type="paragraph" w:styleId="TOC7">
    <w:name w:val="toc 7"/>
    <w:basedOn w:val="Normal"/>
    <w:next w:val="Normal"/>
    <w:autoRedefine/>
    <w:uiPriority w:val="39"/>
    <w:unhideWhenUsed/>
    <w:rsid w:val="005B7A27"/>
    <w:pPr>
      <w:ind w:left="1200"/>
    </w:pPr>
    <w:rPr>
      <w:rFonts w:ascii="Calibri" w:hAnsi="Calibri"/>
    </w:rPr>
  </w:style>
  <w:style w:type="paragraph" w:styleId="TOC8">
    <w:name w:val="toc 8"/>
    <w:basedOn w:val="Normal"/>
    <w:next w:val="Normal"/>
    <w:autoRedefine/>
    <w:uiPriority w:val="39"/>
    <w:unhideWhenUsed/>
    <w:rsid w:val="005B7A27"/>
    <w:pPr>
      <w:ind w:left="1400"/>
    </w:pPr>
    <w:rPr>
      <w:rFonts w:ascii="Calibri" w:hAnsi="Calibri"/>
    </w:rPr>
  </w:style>
  <w:style w:type="paragraph" w:styleId="TOC9">
    <w:name w:val="toc 9"/>
    <w:basedOn w:val="Normal"/>
    <w:next w:val="Normal"/>
    <w:autoRedefine/>
    <w:uiPriority w:val="39"/>
    <w:unhideWhenUsed/>
    <w:rsid w:val="005B7A27"/>
    <w:pPr>
      <w:ind w:left="1600"/>
    </w:pPr>
    <w:rPr>
      <w:rFonts w:ascii="Calibri" w:hAnsi="Calibri"/>
    </w:rPr>
  </w:style>
  <w:style w:type="paragraph" w:styleId="TOCHeading">
    <w:name w:val="TOC Heading"/>
    <w:basedOn w:val="Heading1"/>
    <w:next w:val="Normal"/>
    <w:uiPriority w:val="39"/>
    <w:unhideWhenUsed/>
    <w:qFormat/>
    <w:rsid w:val="00FB0633"/>
    <w:pPr>
      <w:keepNext/>
      <w:keepLines/>
      <w:widowControl/>
      <w:autoSpaceDE/>
      <w:autoSpaceDN/>
      <w:adjustRightInd/>
      <w:spacing w:before="480" w:line="276" w:lineRule="auto"/>
      <w:outlineLvl w:val="9"/>
    </w:pPr>
    <w:rPr>
      <w:rFonts w:ascii="Calibri" w:hAnsi="Calibri" w:cs="Times New Roman"/>
      <w:b w:val="0"/>
      <w:bCs/>
      <w:color w:val="003B7C"/>
      <w:sz w:val="30"/>
      <w:szCs w:val="28"/>
    </w:rPr>
  </w:style>
  <w:style w:type="paragraph" w:customStyle="1" w:styleId="PRITOC1">
    <w:name w:val="PRI TOC 1"/>
    <w:basedOn w:val="TOC1"/>
    <w:link w:val="PRITOC1Char"/>
    <w:uiPriority w:val="10"/>
    <w:rsid w:val="005827D1"/>
    <w:rPr>
      <w:b/>
      <w:sz w:val="24"/>
    </w:rPr>
  </w:style>
  <w:style w:type="character" w:customStyle="1" w:styleId="TOC1Char">
    <w:name w:val="TOC 1 Char"/>
    <w:basedOn w:val="DefaultParagraphFont"/>
    <w:link w:val="TOC1"/>
    <w:uiPriority w:val="39"/>
    <w:rsid w:val="008F7868"/>
    <w:rPr>
      <w:rFonts w:ascii="Alright Sans Regular" w:hAnsi="Alright Sans Regular" w:cs="Arial"/>
      <w:noProof/>
      <w:sz w:val="20"/>
      <w:szCs w:val="20"/>
    </w:rPr>
  </w:style>
  <w:style w:type="character" w:customStyle="1" w:styleId="PRITOC1Char">
    <w:name w:val="PRI TOC 1 Char"/>
    <w:basedOn w:val="TOC1Char"/>
    <w:link w:val="PRITOC1"/>
    <w:uiPriority w:val="10"/>
    <w:rsid w:val="00FA4069"/>
    <w:rPr>
      <w:rFonts w:ascii="Arial" w:hAnsi="Arial" w:cs="Arial"/>
      <w:b/>
      <w:noProof/>
      <w:sz w:val="20"/>
      <w:szCs w:val="20"/>
    </w:rPr>
  </w:style>
  <w:style w:type="character" w:styleId="PageNumber">
    <w:name w:val="page number"/>
    <w:basedOn w:val="DefaultParagraphFont"/>
    <w:uiPriority w:val="99"/>
    <w:semiHidden/>
    <w:unhideWhenUsed/>
    <w:rsid w:val="0071094E"/>
  </w:style>
  <w:style w:type="table" w:styleId="MediumShading1-Accent3">
    <w:name w:val="Medium Shading 1 Accent 3"/>
    <w:basedOn w:val="TableNormal"/>
    <w:uiPriority w:val="63"/>
    <w:rsid w:val="00D30BA3"/>
    <w:tblPr>
      <w:tblStyleRowBandSize w:val="1"/>
      <w:tblStyleColBandSize w:val="1"/>
      <w:tblBorders>
        <w:top w:val="single" w:sz="8" w:space="0" w:color="34C7FF"/>
        <w:left w:val="single" w:sz="8" w:space="0" w:color="34C7FF"/>
        <w:bottom w:val="single" w:sz="8" w:space="0" w:color="34C7FF"/>
        <w:right w:val="single" w:sz="8" w:space="0" w:color="34C7FF"/>
        <w:insideH w:val="single" w:sz="8" w:space="0" w:color="34C7FF"/>
      </w:tblBorders>
    </w:tblPr>
    <w:tblStylePr w:type="firstRow">
      <w:pPr>
        <w:spacing w:before="0" w:after="0" w:line="240" w:lineRule="auto"/>
      </w:pPr>
      <w:rPr>
        <w:b/>
        <w:bCs/>
        <w:color w:val="FFFFFF"/>
      </w:rPr>
      <w:tblPr/>
      <w:tcPr>
        <w:tcBorders>
          <w:top w:val="single" w:sz="8" w:space="0" w:color="34C7FF"/>
          <w:left w:val="single" w:sz="8" w:space="0" w:color="34C7FF"/>
          <w:bottom w:val="single" w:sz="8" w:space="0" w:color="34C7FF"/>
          <w:right w:val="single" w:sz="8" w:space="0" w:color="34C7FF"/>
          <w:insideH w:val="nil"/>
          <w:insideV w:val="nil"/>
        </w:tcBorders>
        <w:shd w:val="clear" w:color="auto" w:fill="00AFF0"/>
      </w:tcPr>
    </w:tblStylePr>
    <w:tblStylePr w:type="lastRow">
      <w:pPr>
        <w:spacing w:before="0" w:after="0" w:line="240" w:lineRule="auto"/>
      </w:pPr>
      <w:rPr>
        <w:b/>
        <w:bCs/>
      </w:rPr>
      <w:tblPr/>
      <w:tcPr>
        <w:tcBorders>
          <w:top w:val="double" w:sz="6" w:space="0" w:color="34C7FF"/>
          <w:left w:val="single" w:sz="8" w:space="0" w:color="34C7FF"/>
          <w:bottom w:val="single" w:sz="8" w:space="0" w:color="34C7FF"/>
          <w:right w:val="single" w:sz="8" w:space="0" w:color="34C7FF"/>
          <w:insideH w:val="nil"/>
          <w:insideV w:val="nil"/>
        </w:tcBorders>
      </w:tcPr>
    </w:tblStylePr>
    <w:tblStylePr w:type="firstCol">
      <w:rPr>
        <w:b/>
        <w:bCs/>
      </w:rPr>
    </w:tblStylePr>
    <w:tblStylePr w:type="lastCol">
      <w:rPr>
        <w:b/>
        <w:bCs/>
      </w:rPr>
    </w:tblStylePr>
    <w:tblStylePr w:type="band1Vert">
      <w:tblPr/>
      <w:tcPr>
        <w:shd w:val="clear" w:color="auto" w:fill="BCECFF"/>
      </w:tcPr>
    </w:tblStylePr>
    <w:tblStylePr w:type="band1Horz">
      <w:tblPr/>
      <w:tcPr>
        <w:tcBorders>
          <w:insideH w:val="nil"/>
          <w:insideV w:val="nil"/>
        </w:tcBorders>
        <w:shd w:val="clear" w:color="auto" w:fill="BCECFF"/>
      </w:tcPr>
    </w:tblStylePr>
    <w:tblStylePr w:type="band2Horz">
      <w:tblPr/>
      <w:tcPr>
        <w:tcBorders>
          <w:insideH w:val="nil"/>
          <w:insideV w:val="nil"/>
        </w:tcBorders>
      </w:tcPr>
    </w:tblStylePr>
  </w:style>
  <w:style w:type="table" w:customStyle="1" w:styleId="PRITable">
    <w:name w:val="PRI Table"/>
    <w:basedOn w:val="TableNormal"/>
    <w:uiPriority w:val="99"/>
    <w:rsid w:val="00CD3D0F"/>
    <w:pPr>
      <w:spacing w:before="240" w:after="120"/>
      <w:ind w:left="170" w:right="170"/>
    </w:pPr>
    <w:rPr>
      <w:rFonts w:ascii="Arial" w:hAnsi="Arial"/>
    </w:rPr>
    <w:tblPr>
      <w:tblBorders>
        <w:top w:val="dashed" w:sz="4" w:space="0" w:color="A6A6A6" w:themeColor="background1" w:themeShade="A6"/>
        <w:left w:val="single" w:sz="8" w:space="0" w:color="FFFFFF" w:themeColor="background1"/>
        <w:bottom w:val="single" w:sz="8" w:space="0" w:color="FFFFFF" w:themeColor="background1"/>
        <w:right w:val="single" w:sz="8" w:space="0" w:color="FFFFFF" w:themeColor="background1"/>
        <w:insideH w:val="dashed" w:sz="4" w:space="0" w:color="808080" w:themeColor="background1" w:themeShade="80"/>
        <w:insideV w:val="dashed" w:sz="4" w:space="0" w:color="808080" w:themeColor="background1" w:themeShade="80"/>
      </w:tblBorders>
      <w:tblCellMar>
        <w:top w:w="113" w:type="dxa"/>
        <w:left w:w="0" w:type="dxa"/>
        <w:bottom w:w="113" w:type="dxa"/>
        <w:right w:w="0" w:type="dxa"/>
      </w:tblCellMar>
    </w:tblPr>
    <w:tcPr>
      <w:shd w:val="clear" w:color="auto" w:fill="auto"/>
      <w:tcMar>
        <w:top w:w="57" w:type="dxa"/>
        <w:bottom w:w="57" w:type="dxa"/>
      </w:tcMar>
      <w:vAlign w:val="center"/>
    </w:tcPr>
    <w:tblStylePr w:type="firstRow">
      <w:pPr>
        <w:wordWrap/>
        <w:spacing w:beforeLines="0" w:beforeAutospacing="0" w:afterLines="0" w:afterAutospacing="0" w:line="360" w:lineRule="auto"/>
        <w:ind w:leftChars="0" w:left="170" w:rightChars="0" w:right="170"/>
        <w:contextualSpacing/>
        <w:jc w:val="left"/>
      </w:pPr>
      <w:rPr>
        <w:rFonts w:ascii="Arial" w:hAnsi="Arial"/>
        <w:b/>
        <w:bCs/>
        <w:i w:val="0"/>
        <w:iCs w:val="0"/>
        <w:caps w:val="0"/>
        <w:smallCaps w:val="0"/>
        <w:strike w:val="0"/>
        <w:dstrike w:val="0"/>
        <w:vanish w:val="0"/>
        <w:color w:val="auto"/>
        <w:kern w:val="0"/>
        <w:sz w:val="24"/>
        <w:szCs w:val="24"/>
        <w:u w:val="none"/>
        <w:vertAlign w:val="baseline"/>
      </w:rPr>
      <w:tblPr/>
      <w:tcPr>
        <w:tcBorders>
          <w:top w:val="dashed" w:sz="4" w:space="0" w:color="FFFFFF" w:themeColor="background1"/>
          <w:left w:val="dashed" w:sz="4" w:space="0" w:color="FFFFFF" w:themeColor="background1"/>
          <w:bottom w:val="single" w:sz="18" w:space="0" w:color="0D74C8"/>
          <w:right w:val="dashed" w:sz="4" w:space="0" w:color="FFFFFF" w:themeColor="background1"/>
          <w:insideH w:val="nil"/>
          <w:insideV w:val="dashed" w:sz="4" w:space="0" w:color="1159BE"/>
          <w:tl2br w:val="nil"/>
          <w:tr2bl w:val="nil"/>
        </w:tcBorders>
        <w:shd w:val="clear" w:color="auto" w:fill="auto"/>
      </w:tcPr>
    </w:tblStylePr>
    <w:tblStylePr w:type="firstCol">
      <w:rPr>
        <w:rFonts w:ascii="Arial" w:hAnsi="Arial"/>
        <w:b w:val="0"/>
        <w:i w:val="0"/>
        <w:sz w:val="20"/>
      </w:rPr>
    </w:tblStylePr>
  </w:style>
  <w:style w:type="paragraph" w:styleId="NormalWeb">
    <w:name w:val="Normal (Web)"/>
    <w:basedOn w:val="Normal"/>
    <w:uiPriority w:val="99"/>
    <w:semiHidden/>
    <w:unhideWhenUsed/>
    <w:rsid w:val="00A63E5B"/>
    <w:pPr>
      <w:widowControl/>
      <w:autoSpaceDE/>
      <w:autoSpaceDN/>
      <w:adjustRightInd/>
      <w:spacing w:before="100" w:beforeAutospacing="1" w:after="100" w:afterAutospacing="1" w:line="240" w:lineRule="auto"/>
    </w:pPr>
    <w:rPr>
      <w:rFonts w:ascii="Times" w:hAnsi="Times" w:cs="Times New Roman"/>
    </w:rPr>
  </w:style>
  <w:style w:type="table" w:styleId="TableGrid">
    <w:name w:val="Table Grid"/>
    <w:basedOn w:val="TableNormal"/>
    <w:uiPriority w:val="59"/>
    <w:rsid w:val="00F3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35021"/>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paragraph" w:styleId="BalloonText">
    <w:name w:val="Balloon Text"/>
    <w:basedOn w:val="Normal"/>
    <w:link w:val="BalloonTextChar"/>
    <w:uiPriority w:val="99"/>
    <w:semiHidden/>
    <w:unhideWhenUsed/>
    <w:rsid w:val="0066596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96D"/>
    <w:rPr>
      <w:rFonts w:ascii="Lucida Grande" w:hAnsi="Lucida Grande" w:cs="Lucida Grande"/>
      <w:sz w:val="18"/>
      <w:szCs w:val="18"/>
    </w:rPr>
  </w:style>
  <w:style w:type="numbering" w:customStyle="1" w:styleId="PRINumbering">
    <w:name w:val="PRI Numbering"/>
    <w:basedOn w:val="NoList"/>
    <w:uiPriority w:val="99"/>
    <w:rsid w:val="003513E0"/>
    <w:pPr>
      <w:numPr>
        <w:numId w:val="7"/>
      </w:numPr>
    </w:pPr>
  </w:style>
  <w:style w:type="paragraph" w:styleId="ListNumber">
    <w:name w:val="List Number"/>
    <w:basedOn w:val="Normal"/>
    <w:autoRedefine/>
    <w:uiPriority w:val="99"/>
    <w:semiHidden/>
    <w:unhideWhenUsed/>
    <w:rsid w:val="00F52AC9"/>
    <w:pPr>
      <w:numPr>
        <w:numId w:val="2"/>
      </w:numPr>
      <w:contextualSpacing/>
    </w:pPr>
  </w:style>
  <w:style w:type="paragraph" w:styleId="ListNumber2">
    <w:name w:val="List Number 2"/>
    <w:basedOn w:val="Normal"/>
    <w:autoRedefine/>
    <w:uiPriority w:val="99"/>
    <w:semiHidden/>
    <w:unhideWhenUsed/>
    <w:rsid w:val="00F52AC9"/>
    <w:pPr>
      <w:numPr>
        <w:numId w:val="3"/>
      </w:numPr>
      <w:contextualSpacing/>
    </w:pPr>
  </w:style>
  <w:style w:type="paragraph" w:styleId="ListNumber3">
    <w:name w:val="List Number 3"/>
    <w:basedOn w:val="Normal"/>
    <w:autoRedefine/>
    <w:uiPriority w:val="99"/>
    <w:semiHidden/>
    <w:unhideWhenUsed/>
    <w:rsid w:val="00F52AC9"/>
    <w:pPr>
      <w:numPr>
        <w:numId w:val="4"/>
      </w:numPr>
      <w:contextualSpacing/>
    </w:pPr>
  </w:style>
  <w:style w:type="paragraph" w:styleId="ListNumber4">
    <w:name w:val="List Number 4"/>
    <w:basedOn w:val="Normal"/>
    <w:autoRedefine/>
    <w:uiPriority w:val="99"/>
    <w:semiHidden/>
    <w:unhideWhenUsed/>
    <w:rsid w:val="00F52AC9"/>
    <w:pPr>
      <w:numPr>
        <w:numId w:val="5"/>
      </w:numPr>
      <w:contextualSpacing/>
    </w:pPr>
  </w:style>
  <w:style w:type="paragraph" w:styleId="ListNumber5">
    <w:name w:val="List Number 5"/>
    <w:basedOn w:val="Normal"/>
    <w:autoRedefine/>
    <w:uiPriority w:val="99"/>
    <w:unhideWhenUsed/>
    <w:rsid w:val="00F52AC9"/>
    <w:pPr>
      <w:numPr>
        <w:numId w:val="6"/>
      </w:numPr>
      <w:contextualSpacing/>
    </w:pPr>
  </w:style>
  <w:style w:type="character" w:customStyle="1" w:styleId="Heading5Char">
    <w:name w:val="Heading 5 Char"/>
    <w:basedOn w:val="DefaultParagraphFont"/>
    <w:uiPriority w:val="19"/>
    <w:semiHidden/>
    <w:rsid w:val="003513E0"/>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uiPriority w:val="19"/>
    <w:semiHidden/>
    <w:rsid w:val="003513E0"/>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uiPriority w:val="19"/>
    <w:semiHidden/>
    <w:rsid w:val="003513E0"/>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uiPriority w:val="19"/>
    <w:semiHidden/>
    <w:rsid w:val="003513E0"/>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uiPriority w:val="19"/>
    <w:semiHidden/>
    <w:rsid w:val="003513E0"/>
    <w:rPr>
      <w:rFonts w:asciiTheme="majorHAnsi" w:eastAsiaTheme="majorEastAsia" w:hAnsiTheme="majorHAnsi" w:cstheme="majorBidi"/>
      <w:i/>
      <w:iCs/>
      <w:color w:val="404040" w:themeColor="text1" w:themeTint="BF"/>
      <w:lang w:val="en-US"/>
    </w:rPr>
  </w:style>
  <w:style w:type="table" w:styleId="MediumList1-Accent6">
    <w:name w:val="Medium List 1 Accent 6"/>
    <w:basedOn w:val="TableNormal"/>
    <w:uiPriority w:val="19"/>
    <w:rsid w:val="00E966D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21"/>
    <w:rsid w:val="00E966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29"/>
    <w:qFormat/>
    <w:rsid w:val="00E966D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rsid w:val="00E966D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6">
    <w:name w:val="Medium Grid 1 Accent 6"/>
    <w:basedOn w:val="TableNormal"/>
    <w:uiPriority w:val="31"/>
    <w:rsid w:val="00E966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34"/>
    <w:qFormat/>
    <w:rsid w:val="00E966D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2">
    <w:name w:val="Medium Grid 1 Accent 2"/>
    <w:basedOn w:val="TableNormal"/>
    <w:uiPriority w:val="62"/>
    <w:rsid w:val="00E966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2"/>
    <w:rsid w:val="00E966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2"/>
    <w:rsid w:val="00E966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5">
    <w:name w:val="Medium List 2 Accent 5"/>
    <w:basedOn w:val="TableNormal"/>
    <w:uiPriority w:val="61"/>
    <w:rsid w:val="00E966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RITable2">
    <w:name w:val="PRI Table 2"/>
    <w:basedOn w:val="TableNormal"/>
    <w:uiPriority w:val="99"/>
    <w:rsid w:val="00F02E05"/>
    <w:pPr>
      <w:ind w:left="170" w:right="170"/>
    </w:pPr>
    <w:rPr>
      <w:rFonts w:ascii="Arial" w:hAnsi="Arial"/>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0" w:type="dxa"/>
        <w:bottom w:w="113" w:type="dxa"/>
        <w:right w:w="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aps w:val="0"/>
        <w:smallCaps w:val="0"/>
        <w:strike w:val="0"/>
        <w:dstrike w:val="0"/>
        <w:vanish w:val="0"/>
        <w:color w:val="FFFFFF" w:themeColor="background1"/>
        <w:kern w:val="0"/>
        <w:sz w:val="24"/>
        <w:szCs w:val="24"/>
        <w:vertAlign w:val="baseline"/>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table" w:customStyle="1" w:styleId="PRITable21">
    <w:name w:val="PRI Table 21"/>
    <w:basedOn w:val="TableNormal"/>
    <w:uiPriority w:val="99"/>
    <w:rsid w:val="00313BED"/>
    <w:pPr>
      <w:ind w:left="170" w:right="170"/>
    </w:pPr>
    <w:rPr>
      <w:rFonts w:ascii="Arial" w:hAnsi="Arial"/>
      <w:color w:val="FFFFFF" w:themeColor="background1"/>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0" w:type="dxa"/>
        <w:bottom w:w="113" w:type="dxa"/>
        <w:right w:w="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aps w:val="0"/>
        <w:smallCaps w:val="0"/>
        <w:strike w:val="0"/>
        <w:dstrike w:val="0"/>
        <w:vanish w:val="0"/>
        <w:color w:val="FFFFFF" w:themeColor="background1"/>
        <w:kern w:val="0"/>
        <w:sz w:val="24"/>
        <w:szCs w:val="24"/>
        <w:vertAlign w:val="baseline"/>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character" w:styleId="CommentReference">
    <w:name w:val="annotation reference"/>
    <w:basedOn w:val="DefaultParagraphFont"/>
    <w:uiPriority w:val="99"/>
    <w:semiHidden/>
    <w:unhideWhenUsed/>
    <w:rsid w:val="008F6BB8"/>
    <w:rPr>
      <w:sz w:val="16"/>
      <w:szCs w:val="16"/>
    </w:rPr>
  </w:style>
  <w:style w:type="paragraph" w:styleId="CommentText">
    <w:name w:val="annotation text"/>
    <w:basedOn w:val="Normal"/>
    <w:link w:val="CommentTextChar"/>
    <w:uiPriority w:val="99"/>
    <w:unhideWhenUsed/>
    <w:rsid w:val="008F6BB8"/>
    <w:pPr>
      <w:spacing w:line="240" w:lineRule="auto"/>
    </w:pPr>
  </w:style>
  <w:style w:type="character" w:customStyle="1" w:styleId="CommentTextChar">
    <w:name w:val="Comment Text Char"/>
    <w:basedOn w:val="DefaultParagraphFont"/>
    <w:link w:val="CommentText"/>
    <w:uiPriority w:val="99"/>
    <w:rsid w:val="008F6BB8"/>
    <w:rPr>
      <w:rFonts w:ascii="Arial" w:hAnsi="Arial" w:cs="Arial"/>
    </w:rPr>
  </w:style>
  <w:style w:type="paragraph" w:styleId="CommentSubject">
    <w:name w:val="annotation subject"/>
    <w:basedOn w:val="CommentText"/>
    <w:next w:val="CommentText"/>
    <w:link w:val="CommentSubjectChar"/>
    <w:uiPriority w:val="99"/>
    <w:semiHidden/>
    <w:unhideWhenUsed/>
    <w:rsid w:val="008F6BB8"/>
    <w:rPr>
      <w:b/>
      <w:bCs/>
    </w:rPr>
  </w:style>
  <w:style w:type="character" w:customStyle="1" w:styleId="CommentSubjectChar">
    <w:name w:val="Comment Subject Char"/>
    <w:basedOn w:val="CommentTextChar"/>
    <w:link w:val="CommentSubject"/>
    <w:uiPriority w:val="99"/>
    <w:semiHidden/>
    <w:rsid w:val="008F6BB8"/>
    <w:rPr>
      <w:rFonts w:ascii="Arial" w:hAnsi="Arial" w:cs="Arial"/>
      <w:b/>
      <w:bCs/>
    </w:rPr>
  </w:style>
  <w:style w:type="character" w:styleId="Hyperlink">
    <w:name w:val="Hyperlink"/>
    <w:basedOn w:val="DefaultParagraphFont"/>
    <w:uiPriority w:val="99"/>
    <w:unhideWhenUsed/>
    <w:rsid w:val="00D27CD4"/>
    <w:rPr>
      <w:color w:val="0000FF" w:themeColor="hyperlink"/>
      <w:u w:val="single"/>
    </w:rPr>
  </w:style>
  <w:style w:type="character" w:styleId="FollowedHyperlink">
    <w:name w:val="FollowedHyperlink"/>
    <w:basedOn w:val="DefaultParagraphFont"/>
    <w:uiPriority w:val="99"/>
    <w:semiHidden/>
    <w:unhideWhenUsed/>
    <w:rsid w:val="00810EE8"/>
    <w:rPr>
      <w:color w:val="800080" w:themeColor="followedHyperlink"/>
      <w:u w:val="single"/>
    </w:rPr>
  </w:style>
  <w:style w:type="character" w:styleId="UnresolvedMention">
    <w:name w:val="Unresolved Mention"/>
    <w:basedOn w:val="DefaultParagraphFont"/>
    <w:uiPriority w:val="99"/>
    <w:semiHidden/>
    <w:unhideWhenUsed/>
    <w:rsid w:val="0067050D"/>
    <w:rPr>
      <w:color w:val="808080"/>
      <w:shd w:val="clear" w:color="auto" w:fill="E6E6E6"/>
    </w:rPr>
  </w:style>
  <w:style w:type="paragraph" w:styleId="Revision">
    <w:name w:val="Revision"/>
    <w:hidden/>
    <w:uiPriority w:val="71"/>
    <w:semiHidden/>
    <w:rsid w:val="007214A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962">
      <w:bodyDiv w:val="1"/>
      <w:marLeft w:val="0"/>
      <w:marRight w:val="0"/>
      <w:marTop w:val="0"/>
      <w:marBottom w:val="0"/>
      <w:divBdr>
        <w:top w:val="none" w:sz="0" w:space="0" w:color="auto"/>
        <w:left w:val="none" w:sz="0" w:space="0" w:color="auto"/>
        <w:bottom w:val="none" w:sz="0" w:space="0" w:color="auto"/>
        <w:right w:val="none" w:sz="0" w:space="0" w:color="auto"/>
      </w:divBdr>
    </w:div>
    <w:div w:id="114174602">
      <w:bodyDiv w:val="1"/>
      <w:marLeft w:val="0"/>
      <w:marRight w:val="0"/>
      <w:marTop w:val="0"/>
      <w:marBottom w:val="0"/>
      <w:divBdr>
        <w:top w:val="none" w:sz="0" w:space="0" w:color="auto"/>
        <w:left w:val="none" w:sz="0" w:space="0" w:color="auto"/>
        <w:bottom w:val="none" w:sz="0" w:space="0" w:color="auto"/>
        <w:right w:val="none" w:sz="0" w:space="0" w:color="auto"/>
      </w:divBdr>
    </w:div>
    <w:div w:id="1004238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pri.org/areas-of-work/reporting-and-assessment/steering-committee/"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hyperlink" Target="https://d8g8t13e9vf2o.cloudfront.net/Uploads/d/u/w/20172018mockassessmentreport_905124.pdf" TargetMode="External"/><Relationship Id="rId17" Type="http://schemas.openxmlformats.org/officeDocument/2006/relationships/image" Target="media/image4.jpeg"/><Relationship Id="rId25" Type="http://schemas.openxmlformats.org/officeDocument/2006/relationships/hyperlink" Target="https://dataportal.unpri.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pri.org/signatories/reporting-for-signatories" TargetMode="External"/><Relationship Id="rId24" Type="http://schemas.openxmlformats.org/officeDocument/2006/relationships/hyperlink" Target="https://www.unpri.org/report/data-portal"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F\Desktop\New%20Templates\PRI_template_2013_3%20-ne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B7C73F8273E4BAC8C97C539FF78CD" ma:contentTypeVersion="12" ma:contentTypeDescription="Create a new document." ma:contentTypeScope="" ma:versionID="f8ba562326d02ce222f5aa3039f97355">
  <xsd:schema xmlns:xsd="http://www.w3.org/2001/XMLSchema" xmlns:xs="http://www.w3.org/2001/XMLSchema" xmlns:p="http://schemas.microsoft.com/office/2006/metadata/properties" xmlns:ns2="58f4f345-4ad1-474b-8443-5afef2d903e3" xmlns:ns3="d1f2cb5e-90ed-446c-b55a-c8efd3225fcc" xmlns:ns4="dfe8e5e2-cac9-475e-8829-d37eb43a1190" targetNamespace="http://schemas.microsoft.com/office/2006/metadata/properties" ma:root="true" ma:fieldsID="6b375ce79252e702dc433bd9cb741be5" ns2:_="" ns3:_="" ns4:_="">
    <xsd:import namespace="58f4f345-4ad1-474b-8443-5afef2d903e3"/>
    <xsd:import namespace="d1f2cb5e-90ed-446c-b55a-c8efd3225fcc"/>
    <xsd:import namespace="dfe8e5e2-cac9-475e-8829-d37eb43a1190"/>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Comment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f345-4ad1-474b-8443-5afef2d903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2cb5e-90ed-446c-b55a-c8efd3225fcc"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e8e5e2-cac9-475e-8829-d37eb43a119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Comments" ma:index="17" nillable="true" ma:displayName="Comments (files can be opened in Notepad++ or SQL Management Studio)" ma:internalName="Comments">
      <xsd:simpleType>
        <xsd:restriction base="dms:Text">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8f4f345-4ad1-474b-8443-5afef2d903e3">
      <UserInfo>
        <DisplayName>Matthieu Angeli</DisplayName>
        <AccountId>680</AccountId>
        <AccountType/>
      </UserInfo>
    </SharedWithUsers>
    <Comments xmlns="dfe8e5e2-cac9-475e-8829-d37eb43a119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31BA8-A52A-480B-8F4B-51662CC2E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f345-4ad1-474b-8443-5afef2d903e3"/>
    <ds:schemaRef ds:uri="d1f2cb5e-90ed-446c-b55a-c8efd3225fcc"/>
    <ds:schemaRef ds:uri="dfe8e5e2-cac9-475e-8829-d37eb43a1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A9487-5628-4A90-974F-C2829E23AA61}">
  <ds:schemaRefs>
    <ds:schemaRef ds:uri="http://schemas.microsoft.com/sharepoint/v3/contenttype/forms"/>
  </ds:schemaRefs>
</ds:datastoreItem>
</file>

<file path=customXml/itemProps3.xml><?xml version="1.0" encoding="utf-8"?>
<ds:datastoreItem xmlns:ds="http://schemas.openxmlformats.org/officeDocument/2006/customXml" ds:itemID="{545AC614-ED36-4DB2-B437-00B278A013F6}">
  <ds:schemaRefs>
    <ds:schemaRef ds:uri="http://purl.org/dc/elements/1.1/"/>
    <ds:schemaRef ds:uri="58f4f345-4ad1-474b-8443-5afef2d903e3"/>
    <ds:schemaRef ds:uri="http://schemas.openxmlformats.org/package/2006/metadata/core-properties"/>
    <ds:schemaRef ds:uri="dfe8e5e2-cac9-475e-8829-d37eb43a1190"/>
    <ds:schemaRef ds:uri="http://purl.org/dc/terms/"/>
    <ds:schemaRef ds:uri="d1f2cb5e-90ed-446c-b55a-c8efd3225fcc"/>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D39C6DD-7038-4647-ABD3-57A8EE3E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PRI_template_2013_3 -new logo.dotx</Template>
  <TotalTime>0</TotalTime>
  <Pages>10</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Faulkner</dc:creator>
  <cp:lastModifiedBy>Danielle Watkins</cp:lastModifiedBy>
  <cp:revision>2</cp:revision>
  <cp:lastPrinted>2017-12-11T11:54:00Z</cp:lastPrinted>
  <dcterms:created xsi:type="dcterms:W3CDTF">2018-12-11T17:22:00Z</dcterms:created>
  <dcterms:modified xsi:type="dcterms:W3CDTF">2018-12-11T17:22:00Z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0x010100C0AB7C73F8273E4BAC8C97C539FF78CD</vt:lpwstr>
  </property>
  <property fmtid="{D5CDD505-2E9C-101B-9397-08002B2CF9AE}" pid="3" name="IsMyDocuments">
    <vt:bool>true</vt:bool>
  </property>
</Properties>
</file>